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9413E" w14:textId="77777777" w:rsidR="002B7A58" w:rsidRPr="0081008A" w:rsidRDefault="002B7A58" w:rsidP="0081008A">
      <w:pPr>
        <w:shd w:val="clear" w:color="auto" w:fill="FFFFFF" w:themeFill="background1"/>
        <w:spacing w:after="0" w:line="240" w:lineRule="auto"/>
        <w:jc w:val="both"/>
        <w:rPr>
          <w:rStyle w:val="apar"/>
          <w:rFonts w:ascii="Tahoma" w:hAnsi="Tahoma" w:cs="Tahoma"/>
          <w:color w:val="002060"/>
          <w:sz w:val="20"/>
          <w:szCs w:val="20"/>
          <w:bdr w:val="none" w:sz="0" w:space="0" w:color="auto" w:frame="1"/>
          <w:shd w:val="clear" w:color="auto" w:fill="FFFFFF"/>
          <w:lang w:val="ro-RO"/>
        </w:rPr>
      </w:pPr>
      <w:bookmarkStart w:id="0" w:name="_GoBack"/>
      <w:bookmarkEnd w:id="0"/>
      <w:r w:rsidRPr="0081008A">
        <w:rPr>
          <w:rFonts w:ascii="Tahoma" w:hAnsi="Tahoma" w:cs="Tahoma"/>
          <w:noProof/>
          <w:color w:val="002060"/>
          <w:sz w:val="20"/>
          <w:szCs w:val="20"/>
        </w:rPr>
        <w:drawing>
          <wp:inline distT="0" distB="0" distL="0" distR="0" wp14:anchorId="025DD400" wp14:editId="695BBF06">
            <wp:extent cx="5943600" cy="698500"/>
            <wp:effectExtent l="0" t="0" r="0" b="635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698500"/>
                    </a:xfrm>
                    <a:prstGeom prst="rect">
                      <a:avLst/>
                    </a:prstGeom>
                    <a:ln/>
                  </pic:spPr>
                </pic:pic>
              </a:graphicData>
            </a:graphic>
          </wp:inline>
        </w:drawing>
      </w:r>
    </w:p>
    <w:p w14:paraId="6B7B419C" w14:textId="10388FDD" w:rsidR="002D6182" w:rsidRPr="0081008A" w:rsidRDefault="002D6182" w:rsidP="0081008A">
      <w:pPr>
        <w:shd w:val="clear" w:color="auto" w:fill="FFFFFF" w:themeFill="background1"/>
        <w:spacing w:after="0" w:line="240" w:lineRule="auto"/>
        <w:jc w:val="both"/>
        <w:rPr>
          <w:rStyle w:val="apar"/>
          <w:rFonts w:ascii="Tahoma" w:hAnsi="Tahoma" w:cs="Tahoma"/>
          <w:color w:val="002060"/>
          <w:sz w:val="20"/>
          <w:szCs w:val="20"/>
          <w:bdr w:val="none" w:sz="0" w:space="0" w:color="auto" w:frame="1"/>
          <w:shd w:val="clear" w:color="auto" w:fill="FFFFFF"/>
          <w:lang w:val="ro-RO"/>
        </w:rPr>
      </w:pPr>
      <w:r w:rsidRPr="0081008A">
        <w:rPr>
          <w:rStyle w:val="apar"/>
          <w:rFonts w:ascii="Tahoma" w:hAnsi="Tahoma" w:cs="Tahoma"/>
          <w:color w:val="002060"/>
          <w:sz w:val="20"/>
          <w:szCs w:val="20"/>
          <w:bdr w:val="none" w:sz="0" w:space="0" w:color="auto" w:frame="1"/>
          <w:shd w:val="clear" w:color="auto" w:fill="FFFFFF"/>
          <w:lang w:val="ro-RO"/>
        </w:rPr>
        <w:t>Anexa 1</w:t>
      </w:r>
      <w:r w:rsidR="003914DC" w:rsidRPr="0081008A">
        <w:rPr>
          <w:rStyle w:val="apar"/>
          <w:rFonts w:ascii="Tahoma" w:hAnsi="Tahoma" w:cs="Tahoma"/>
          <w:color w:val="002060"/>
          <w:sz w:val="20"/>
          <w:szCs w:val="20"/>
          <w:bdr w:val="none" w:sz="0" w:space="0" w:color="auto" w:frame="1"/>
          <w:shd w:val="clear" w:color="auto" w:fill="FFFFFF"/>
          <w:lang w:val="ro-RO"/>
        </w:rPr>
        <w:t>6</w:t>
      </w:r>
    </w:p>
    <w:p w14:paraId="0D24178D" w14:textId="77777777" w:rsidR="00222477" w:rsidRPr="0081008A" w:rsidRDefault="00222477" w:rsidP="0081008A">
      <w:pPr>
        <w:shd w:val="clear" w:color="auto" w:fill="FFFFFF" w:themeFill="background1"/>
        <w:spacing w:after="0" w:line="240" w:lineRule="auto"/>
        <w:jc w:val="both"/>
        <w:rPr>
          <w:rStyle w:val="apar"/>
          <w:rFonts w:ascii="Tahoma" w:hAnsi="Tahoma" w:cs="Tahoma"/>
          <w:b/>
          <w:bCs/>
          <w:color w:val="002060"/>
          <w:sz w:val="20"/>
          <w:szCs w:val="20"/>
          <w:bdr w:val="none" w:sz="0" w:space="0" w:color="auto" w:frame="1"/>
          <w:shd w:val="clear" w:color="auto" w:fill="FFFFFF"/>
          <w:lang w:val="ro-RO"/>
        </w:rPr>
      </w:pPr>
    </w:p>
    <w:p w14:paraId="1EAD3000" w14:textId="27E79A50" w:rsidR="00222477" w:rsidRPr="0081008A" w:rsidRDefault="00222477" w:rsidP="0081008A">
      <w:pPr>
        <w:shd w:val="clear" w:color="auto" w:fill="FFFFFF" w:themeFill="background1"/>
        <w:spacing w:after="0" w:line="240" w:lineRule="auto"/>
        <w:jc w:val="both"/>
        <w:rPr>
          <w:rStyle w:val="apar"/>
          <w:rFonts w:ascii="Tahoma" w:hAnsi="Tahoma" w:cs="Tahoma"/>
          <w:b/>
          <w:bCs/>
          <w:color w:val="002060"/>
          <w:sz w:val="20"/>
          <w:szCs w:val="20"/>
          <w:bdr w:val="none" w:sz="0" w:space="0" w:color="auto" w:frame="1"/>
          <w:shd w:val="clear" w:color="auto" w:fill="FFFFFF"/>
          <w:lang w:val="ro-RO"/>
        </w:rPr>
      </w:pPr>
    </w:p>
    <w:p w14:paraId="7B17BEDC" w14:textId="77777777" w:rsidR="00222477" w:rsidRPr="0081008A" w:rsidRDefault="00222477" w:rsidP="0081008A">
      <w:pPr>
        <w:shd w:val="clear" w:color="auto" w:fill="FFFFFF" w:themeFill="background1"/>
        <w:spacing w:after="0" w:line="240" w:lineRule="auto"/>
        <w:jc w:val="both"/>
        <w:rPr>
          <w:rStyle w:val="apar"/>
          <w:rFonts w:ascii="Tahoma" w:hAnsi="Tahoma" w:cs="Tahoma"/>
          <w:b/>
          <w:bCs/>
          <w:color w:val="002060"/>
          <w:sz w:val="20"/>
          <w:szCs w:val="20"/>
          <w:bdr w:val="none" w:sz="0" w:space="0" w:color="auto" w:frame="1"/>
          <w:shd w:val="clear" w:color="auto" w:fill="FFFFFF"/>
          <w:lang w:val="ro-RO"/>
        </w:rPr>
      </w:pPr>
    </w:p>
    <w:p w14:paraId="0A1C621A" w14:textId="3CA846B4" w:rsidR="002D6182" w:rsidRPr="0081008A" w:rsidRDefault="002D6182" w:rsidP="0081008A">
      <w:pPr>
        <w:shd w:val="clear" w:color="auto" w:fill="FFFFFF" w:themeFill="background1"/>
        <w:spacing w:after="0" w:line="240" w:lineRule="auto"/>
        <w:jc w:val="both"/>
        <w:rPr>
          <w:rStyle w:val="apar"/>
          <w:rFonts w:ascii="Tahoma" w:hAnsi="Tahoma" w:cs="Tahoma"/>
          <w:b/>
          <w:bCs/>
          <w:color w:val="002060"/>
          <w:sz w:val="20"/>
          <w:szCs w:val="20"/>
          <w:bdr w:val="none" w:sz="0" w:space="0" w:color="auto" w:frame="1"/>
          <w:shd w:val="clear" w:color="auto" w:fill="FFFFFF"/>
          <w:lang w:val="ro-RO"/>
        </w:rPr>
      </w:pPr>
      <w:r w:rsidRPr="0081008A">
        <w:rPr>
          <w:rStyle w:val="apar"/>
          <w:rFonts w:ascii="Tahoma" w:hAnsi="Tahoma" w:cs="Tahoma"/>
          <w:b/>
          <w:bCs/>
          <w:color w:val="002060"/>
          <w:sz w:val="20"/>
          <w:szCs w:val="20"/>
          <w:bdr w:val="none" w:sz="0" w:space="0" w:color="auto" w:frame="1"/>
          <w:shd w:val="clear" w:color="auto" w:fill="FFFFFF"/>
          <w:lang w:val="ro-RO"/>
        </w:rPr>
        <w:t>NOTĂ CONCEPTUALĂ</w:t>
      </w:r>
      <w:r w:rsidRPr="0081008A">
        <w:rPr>
          <w:rStyle w:val="FootnoteReference"/>
          <w:rFonts w:ascii="Tahoma" w:hAnsi="Tahoma" w:cs="Tahoma"/>
          <w:b/>
          <w:bCs/>
          <w:color w:val="002060"/>
          <w:sz w:val="20"/>
          <w:szCs w:val="20"/>
          <w:bdr w:val="none" w:sz="0" w:space="0" w:color="auto" w:frame="1"/>
          <w:shd w:val="clear" w:color="auto" w:fill="FFFFFF"/>
          <w:lang w:val="ro-RO"/>
        </w:rPr>
        <w:footnoteReference w:id="1"/>
      </w:r>
    </w:p>
    <w:p w14:paraId="5FEE817A" w14:textId="5BEA17F6" w:rsidR="002D6182" w:rsidRPr="0081008A" w:rsidRDefault="002D6182" w:rsidP="0081008A">
      <w:pPr>
        <w:shd w:val="clear" w:color="auto" w:fill="FFFFFF" w:themeFill="background1"/>
        <w:spacing w:after="0" w:line="240" w:lineRule="auto"/>
        <w:jc w:val="both"/>
        <w:rPr>
          <w:rStyle w:val="apar"/>
          <w:rFonts w:ascii="Tahoma" w:hAnsi="Tahoma" w:cs="Tahoma"/>
          <w:b/>
          <w:bCs/>
          <w:color w:val="002060"/>
          <w:sz w:val="20"/>
          <w:szCs w:val="20"/>
          <w:bdr w:val="none" w:sz="0" w:space="0" w:color="auto" w:frame="1"/>
          <w:shd w:val="clear" w:color="auto" w:fill="FFFFFF"/>
          <w:lang w:val="ro-RO"/>
        </w:rPr>
      </w:pPr>
      <w:r w:rsidRPr="0081008A">
        <w:rPr>
          <w:rStyle w:val="apar"/>
          <w:rFonts w:ascii="Tahoma" w:hAnsi="Tahoma" w:cs="Tahoma"/>
          <w:b/>
          <w:bCs/>
          <w:color w:val="002060"/>
          <w:sz w:val="20"/>
          <w:szCs w:val="20"/>
          <w:bdr w:val="none" w:sz="0" w:space="0" w:color="auto" w:frame="1"/>
          <w:shd w:val="clear" w:color="auto" w:fill="FFFFFF"/>
          <w:lang w:val="ro-RO"/>
        </w:rPr>
        <w:t>- conținut-cadru -</w:t>
      </w:r>
    </w:p>
    <w:p w14:paraId="039112E1" w14:textId="751723D9" w:rsidR="002D6182" w:rsidRPr="0081008A" w:rsidRDefault="002D6182" w:rsidP="0081008A">
      <w:pPr>
        <w:shd w:val="clear" w:color="auto" w:fill="FFFFFF" w:themeFill="background1"/>
        <w:spacing w:after="0" w:line="240" w:lineRule="auto"/>
        <w:jc w:val="both"/>
        <w:rPr>
          <w:rStyle w:val="sden"/>
          <w:rFonts w:ascii="Tahoma" w:hAnsi="Tahoma" w:cs="Tahoma"/>
          <w:color w:val="002060"/>
          <w:sz w:val="20"/>
          <w:szCs w:val="20"/>
          <w:bdr w:val="none" w:sz="0" w:space="0" w:color="auto" w:frame="1"/>
          <w:shd w:val="clear" w:color="auto" w:fill="FFFFFF"/>
          <w:lang w:val="ro-RO"/>
        </w:rPr>
      </w:pPr>
    </w:p>
    <w:p w14:paraId="13C73059" w14:textId="77777777" w:rsidR="00222477" w:rsidRPr="0081008A" w:rsidRDefault="00222477" w:rsidP="0081008A">
      <w:pPr>
        <w:shd w:val="clear" w:color="auto" w:fill="FFFFFF" w:themeFill="background1"/>
        <w:spacing w:after="0" w:line="240" w:lineRule="auto"/>
        <w:jc w:val="both"/>
        <w:rPr>
          <w:rStyle w:val="sden"/>
          <w:rFonts w:ascii="Tahoma" w:hAnsi="Tahoma" w:cs="Tahoma"/>
          <w:color w:val="002060"/>
          <w:sz w:val="20"/>
          <w:szCs w:val="20"/>
          <w:bdr w:val="none" w:sz="0" w:space="0" w:color="auto" w:frame="1"/>
          <w:shd w:val="clear" w:color="auto" w:fill="FFFFFF"/>
          <w:lang w:val="ro-RO"/>
        </w:rPr>
      </w:pPr>
    </w:p>
    <w:p w14:paraId="68B4FFF0" w14:textId="161AACAE"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Informații generale privind obiectivul de investiții propus</w:t>
      </w:r>
    </w:p>
    <w:p w14:paraId="2D179592"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Denumirea obiectivului de investiții</w:t>
      </w:r>
    </w:p>
    <w:p w14:paraId="4C56F121"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Ordonator principal de credite/investitor</w:t>
      </w:r>
    </w:p>
    <w:p w14:paraId="6718E5A5"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Ordonator de credite (secundar/terțiar)</w:t>
      </w:r>
    </w:p>
    <w:p w14:paraId="4863DA9F" w14:textId="5B968B31"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Beneficiarul investiției</w:t>
      </w:r>
    </w:p>
    <w:p w14:paraId="3966ADDE" w14:textId="12D3D17B"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63180544" w14:textId="77777777"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661D79A1" w14:textId="77777777"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Necesitatea și oportunitatea obiectivului de investiții propus</w:t>
      </w:r>
    </w:p>
    <w:p w14:paraId="546796C3"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Scurtă prezentare privind:</w:t>
      </w:r>
    </w:p>
    <w:p w14:paraId="59DCA2A5" w14:textId="77777777" w:rsidR="003B69CE" w:rsidRPr="0081008A" w:rsidRDefault="002D6182" w:rsidP="0081008A">
      <w:pPr>
        <w:pStyle w:val="ListParagraph"/>
        <w:numPr>
          <w:ilvl w:val="0"/>
          <w:numId w:val="4"/>
        </w:numPr>
        <w:shd w:val="clear" w:color="auto" w:fill="FFFFFF" w:themeFill="background1"/>
        <w:spacing w:after="0" w:line="240" w:lineRule="auto"/>
        <w:ind w:left="1440"/>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deficiențe ale situației actuale;</w:t>
      </w:r>
    </w:p>
    <w:p w14:paraId="26864CC6" w14:textId="77777777" w:rsidR="003B69CE" w:rsidRPr="0081008A" w:rsidRDefault="002D6182" w:rsidP="0081008A">
      <w:pPr>
        <w:pStyle w:val="ListParagraph"/>
        <w:numPr>
          <w:ilvl w:val="0"/>
          <w:numId w:val="4"/>
        </w:numPr>
        <w:shd w:val="clear" w:color="auto" w:fill="FFFFFF" w:themeFill="background1"/>
        <w:spacing w:after="0" w:line="240" w:lineRule="auto"/>
        <w:ind w:left="1440"/>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efectul pozitiv previzionat prin realizarea obiectivului de investiții;</w:t>
      </w:r>
    </w:p>
    <w:p w14:paraId="22EB4E7A" w14:textId="556F5319" w:rsidR="003B69CE" w:rsidRPr="0081008A" w:rsidRDefault="002D6182" w:rsidP="0081008A">
      <w:pPr>
        <w:pStyle w:val="ListParagraph"/>
        <w:numPr>
          <w:ilvl w:val="0"/>
          <w:numId w:val="4"/>
        </w:numPr>
        <w:shd w:val="clear" w:color="auto" w:fill="FFFFFF" w:themeFill="background1"/>
        <w:spacing w:after="0" w:line="240" w:lineRule="auto"/>
        <w:ind w:left="1440"/>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impactul negativ previzionat în cazul nerealizării obiectivului de investiții.</w:t>
      </w:r>
    </w:p>
    <w:p w14:paraId="2923DACB"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Prezentarea, după caz, a obiectivelor de investiții cu aceleași funcțiuni sau funcțiuni similare cu obiectivul de investiții propus, existente în zonă, în vederea justificării necesității realizării obiectivului de investiții propus</w:t>
      </w:r>
    </w:p>
    <w:p w14:paraId="10AE0E2D"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Existența, după caz, a unei strategii, a unui master plan ori a unor planuri similare, aprobate prin acte normative, în cadrul cărora se poate încadra obiectivul de investiții propus</w:t>
      </w:r>
    </w:p>
    <w:p w14:paraId="49E3B3D3"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Existența, după caz, a unor acorduri internaționale ale statului care obligă partea română la realizarea obiectivului de investiții</w:t>
      </w:r>
    </w:p>
    <w:p w14:paraId="207C9220" w14:textId="61998249"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Obiective generale, preconizate a fi atinse prin realizarea investiției</w:t>
      </w:r>
    </w:p>
    <w:p w14:paraId="59281C7C" w14:textId="2B8EFAA4"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27321F80" w14:textId="77777777"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44F03E78" w14:textId="77777777"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Estimarea suportabilității investiției publice</w:t>
      </w:r>
    </w:p>
    <w:p w14:paraId="18627350"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Estimarea cheltuielilor pentru execuția obiectivului de investiții, luându-se în considerare, după caz:</w:t>
      </w:r>
    </w:p>
    <w:p w14:paraId="2008513C" w14:textId="77777777" w:rsidR="003B69CE" w:rsidRPr="0081008A" w:rsidRDefault="002D6182" w:rsidP="0081008A">
      <w:pPr>
        <w:pStyle w:val="ListParagraph"/>
        <w:numPr>
          <w:ilvl w:val="0"/>
          <w:numId w:val="5"/>
        </w:numPr>
        <w:shd w:val="clear" w:color="auto" w:fill="FFFFFF" w:themeFill="background1"/>
        <w:spacing w:after="0" w:line="240" w:lineRule="auto"/>
        <w:ind w:left="1440"/>
        <w:jc w:val="both"/>
        <w:rPr>
          <w:rStyle w:val="slinbdy"/>
          <w:rFonts w:ascii="Tahoma" w:hAnsi="Tahoma" w:cs="Tahoma"/>
          <w:color w:val="002060"/>
          <w:sz w:val="20"/>
          <w:szCs w:val="20"/>
          <w:lang w:val="ro-RO"/>
        </w:rPr>
      </w:pPr>
      <w:r w:rsidRPr="0081008A">
        <w:rPr>
          <w:rStyle w:val="slinbdy"/>
          <w:rFonts w:ascii="Tahoma" w:hAnsi="Tahoma" w:cs="Tahoma"/>
          <w:color w:val="002060"/>
          <w:sz w:val="20"/>
          <w:szCs w:val="20"/>
          <w:bdr w:val="none" w:sz="0" w:space="0" w:color="auto" w:frame="1"/>
          <w:shd w:val="clear" w:color="auto" w:fill="FFFFFF"/>
          <w:lang w:val="ro-RO"/>
        </w:rPr>
        <w:t>costurile unor investiții similare realizate;</w:t>
      </w:r>
    </w:p>
    <w:p w14:paraId="0442A4AD" w14:textId="63179AA9" w:rsidR="003B69CE" w:rsidRPr="0081008A" w:rsidRDefault="002D6182" w:rsidP="0081008A">
      <w:pPr>
        <w:pStyle w:val="ListParagraph"/>
        <w:numPr>
          <w:ilvl w:val="0"/>
          <w:numId w:val="5"/>
        </w:numPr>
        <w:shd w:val="clear" w:color="auto" w:fill="FFFFFF" w:themeFill="background1"/>
        <w:spacing w:after="0" w:line="240" w:lineRule="auto"/>
        <w:ind w:left="1440"/>
        <w:jc w:val="both"/>
        <w:rPr>
          <w:rStyle w:val="slinbdy"/>
          <w:rFonts w:ascii="Tahoma" w:hAnsi="Tahoma" w:cs="Tahoma"/>
          <w:color w:val="002060"/>
          <w:sz w:val="20"/>
          <w:szCs w:val="20"/>
          <w:lang w:val="ro-RO"/>
        </w:rPr>
      </w:pPr>
      <w:r w:rsidRPr="0081008A">
        <w:rPr>
          <w:rStyle w:val="slinbdy"/>
          <w:rFonts w:ascii="Tahoma" w:hAnsi="Tahoma" w:cs="Tahoma"/>
          <w:color w:val="002060"/>
          <w:sz w:val="20"/>
          <w:szCs w:val="20"/>
          <w:bdr w:val="none" w:sz="0" w:space="0" w:color="auto" w:frame="1"/>
          <w:shd w:val="clear" w:color="auto" w:fill="FFFFFF"/>
          <w:lang w:val="ro-RO"/>
        </w:rPr>
        <w:t>standarde de cost pentru investiții similare.</w:t>
      </w:r>
    </w:p>
    <w:p w14:paraId="1D90F000" w14:textId="77777777"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Estimarea cheltuielilor pentru proiectarea, pe faze, a documentației tehnico-economice aferente obiectivului de investiție, precum și pentru elaborarea altor studii de specialitate în funcție de specificul obiectivului de investiții, inclusiv cheltuielile necesare pentru obținerea avizelor, autorizațiilor și acordurilor prevăzute de lege</w:t>
      </w:r>
    </w:p>
    <w:p w14:paraId="66886AA3" w14:textId="4B78372B" w:rsidR="003B69CE" w:rsidRPr="0081008A" w:rsidRDefault="002D6182" w:rsidP="0081008A">
      <w:pPr>
        <w:pStyle w:val="ListParagraph"/>
        <w:numPr>
          <w:ilvl w:val="1"/>
          <w:numId w:val="3"/>
        </w:numPr>
        <w:shd w:val="clear" w:color="auto" w:fill="FFFFFF" w:themeFill="background1"/>
        <w:spacing w:after="0" w:line="240" w:lineRule="auto"/>
        <w:ind w:left="1080" w:hanging="72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Surse identificate pentru finanțarea cheltuielilor estimate (în cazul finanțării nerambursabile se va menționa programul operațional/axa corespunzătoare, identificată)</w:t>
      </w:r>
    </w:p>
    <w:p w14:paraId="5DE9458F" w14:textId="48EF34A3"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1BC32177" w14:textId="5901E8EB"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395167E6" w14:textId="030BA4F2"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70C388D7" w14:textId="18659167"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0B87D930" w14:textId="75A3C5D3"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26E9231E" w14:textId="77777777" w:rsidR="00222477" w:rsidRPr="0081008A" w:rsidRDefault="00222477" w:rsidP="0081008A">
      <w:pPr>
        <w:shd w:val="clear" w:color="auto" w:fill="FFFFFF" w:themeFill="background1"/>
        <w:spacing w:after="0" w:line="240" w:lineRule="auto"/>
        <w:jc w:val="both"/>
        <w:rPr>
          <w:rStyle w:val="spctbdy"/>
          <w:rFonts w:ascii="Tahoma" w:hAnsi="Tahoma" w:cs="Tahoma"/>
          <w:color w:val="002060"/>
          <w:sz w:val="20"/>
          <w:szCs w:val="20"/>
          <w:lang w:val="ro-RO"/>
        </w:rPr>
      </w:pPr>
    </w:p>
    <w:p w14:paraId="222FFE2F" w14:textId="3F2FC811"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Informații privind regimul juridic, economic și tehnic al terenului și/sau al construcției existente</w:t>
      </w:r>
    </w:p>
    <w:p w14:paraId="271B03C0" w14:textId="58F50C4A" w:rsidR="00222477" w:rsidRPr="0081008A" w:rsidRDefault="00222477" w:rsidP="0081008A">
      <w:pPr>
        <w:shd w:val="clear" w:color="auto" w:fill="FFFFFF" w:themeFill="background1"/>
        <w:spacing w:after="0" w:line="240" w:lineRule="auto"/>
        <w:ind w:left="360" w:hanging="360"/>
        <w:jc w:val="both"/>
        <w:rPr>
          <w:rStyle w:val="spctbdy"/>
          <w:rFonts w:ascii="Tahoma" w:hAnsi="Tahoma" w:cs="Tahoma"/>
          <w:color w:val="002060"/>
          <w:sz w:val="20"/>
          <w:szCs w:val="20"/>
          <w:lang w:val="ro-RO"/>
        </w:rPr>
      </w:pPr>
    </w:p>
    <w:p w14:paraId="4BE55D48" w14:textId="77777777" w:rsidR="00222477" w:rsidRPr="0081008A" w:rsidRDefault="00222477" w:rsidP="0081008A">
      <w:pPr>
        <w:shd w:val="clear" w:color="auto" w:fill="FFFFFF" w:themeFill="background1"/>
        <w:spacing w:after="0" w:line="240" w:lineRule="auto"/>
        <w:ind w:left="360" w:hanging="360"/>
        <w:jc w:val="both"/>
        <w:rPr>
          <w:rStyle w:val="spctbdy"/>
          <w:rFonts w:ascii="Tahoma" w:hAnsi="Tahoma" w:cs="Tahoma"/>
          <w:color w:val="002060"/>
          <w:sz w:val="20"/>
          <w:szCs w:val="20"/>
          <w:lang w:val="ro-RO"/>
        </w:rPr>
      </w:pPr>
    </w:p>
    <w:p w14:paraId="465CEA1E" w14:textId="77777777"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Particularități ale amplasamentului/amplasamentelor propus(e) pentru realizarea obiectivului de investiții:</w:t>
      </w:r>
    </w:p>
    <w:p w14:paraId="2D48CAA5"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descrierea succintă a amplasamentului/amplasamentelor propus(e) (localizare, suprafața terenului, dimensiuni în plan);</w:t>
      </w:r>
    </w:p>
    <w:p w14:paraId="4C45010E"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relațiile cu zone învecinate, accesuri existente și/sau căi de acces posibile;</w:t>
      </w:r>
    </w:p>
    <w:p w14:paraId="0109F5AA"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surse de poluare existente în zonă;</w:t>
      </w:r>
    </w:p>
    <w:p w14:paraId="40139BB6"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particularități de relief;</w:t>
      </w:r>
    </w:p>
    <w:p w14:paraId="5B2852D4"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nivel de echipare tehnico-edilitară a zonei și posibilități de asigurare a utilităților;</w:t>
      </w:r>
    </w:p>
    <w:p w14:paraId="3B9647CC"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existența unor eventuale rețele edilitare în amplasament care ar necesita relocare/protejare, în măsura în care pot fi identificate;</w:t>
      </w:r>
    </w:p>
    <w:p w14:paraId="62CBAACA"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posibile obligații de servitute;</w:t>
      </w:r>
    </w:p>
    <w:p w14:paraId="78EA832D"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condiționări constructive determinate de starea tehnică și de sistemul constructiv al unor construcții existente în amplasament, asupra cărora se vor face lucrări de intervenții, după caz;</w:t>
      </w:r>
    </w:p>
    <w:p w14:paraId="34BAC8D2" w14:textId="77777777"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reglementări urbanistice aplicabile zonei conform documentațiilor de urbanism aprobate - plan urbanistic general/plan urbanistic zonal și regulamentul local de urbanism aferent;</w:t>
      </w:r>
    </w:p>
    <w:p w14:paraId="466C2683" w14:textId="39386A4C" w:rsidR="003B69CE" w:rsidRPr="0081008A" w:rsidRDefault="002D6182" w:rsidP="0081008A">
      <w:pPr>
        <w:pStyle w:val="ListParagraph"/>
        <w:numPr>
          <w:ilvl w:val="0"/>
          <w:numId w:val="6"/>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existența de monumente istorice/de arhitectură sau situri arheologice pe amplasament sau în zona imediat învecinată; existența condiționărilor specifice în cazul existenței unor zone protejate.</w:t>
      </w:r>
    </w:p>
    <w:p w14:paraId="4452C8F7" w14:textId="3D7F7E2B" w:rsidR="00222477" w:rsidRPr="0081008A" w:rsidRDefault="00222477" w:rsidP="0081008A">
      <w:pPr>
        <w:shd w:val="clear" w:color="auto" w:fill="FFFFFF" w:themeFill="background1"/>
        <w:spacing w:after="0" w:line="240" w:lineRule="auto"/>
        <w:jc w:val="both"/>
        <w:rPr>
          <w:rStyle w:val="slitbdy"/>
          <w:rFonts w:ascii="Tahoma" w:hAnsi="Tahoma" w:cs="Tahoma"/>
          <w:color w:val="002060"/>
          <w:sz w:val="20"/>
          <w:szCs w:val="20"/>
          <w:lang w:val="ro-RO"/>
        </w:rPr>
      </w:pPr>
    </w:p>
    <w:p w14:paraId="5F1807F1" w14:textId="77777777" w:rsidR="00222477" w:rsidRPr="0081008A" w:rsidRDefault="00222477" w:rsidP="0081008A">
      <w:pPr>
        <w:shd w:val="clear" w:color="auto" w:fill="FFFFFF" w:themeFill="background1"/>
        <w:spacing w:after="0" w:line="240" w:lineRule="auto"/>
        <w:jc w:val="both"/>
        <w:rPr>
          <w:rStyle w:val="slitbdy"/>
          <w:rFonts w:ascii="Tahoma" w:hAnsi="Tahoma" w:cs="Tahoma"/>
          <w:color w:val="002060"/>
          <w:sz w:val="20"/>
          <w:szCs w:val="20"/>
          <w:lang w:val="ro-RO"/>
        </w:rPr>
      </w:pPr>
    </w:p>
    <w:p w14:paraId="4DC03366" w14:textId="77777777" w:rsidR="003B69CE"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Descrierea succintă a obiectivului de investiții propus, din punct de vedere tehnic și funcțional:</w:t>
      </w:r>
    </w:p>
    <w:p w14:paraId="09B16E64" w14:textId="77777777" w:rsidR="003B69CE" w:rsidRPr="0081008A" w:rsidRDefault="002D6182" w:rsidP="0081008A">
      <w:pPr>
        <w:pStyle w:val="ListParagraph"/>
        <w:numPr>
          <w:ilvl w:val="0"/>
          <w:numId w:val="7"/>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destinație și funcțiuni;</w:t>
      </w:r>
    </w:p>
    <w:p w14:paraId="0319819F" w14:textId="77777777" w:rsidR="003B69CE" w:rsidRPr="0081008A" w:rsidRDefault="002D6182" w:rsidP="0081008A">
      <w:pPr>
        <w:pStyle w:val="ListParagraph"/>
        <w:numPr>
          <w:ilvl w:val="0"/>
          <w:numId w:val="7"/>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caracteristici, parametri și date tehnice specifice, preconizate;</w:t>
      </w:r>
    </w:p>
    <w:p w14:paraId="417248E0" w14:textId="77777777" w:rsidR="003B69CE" w:rsidRPr="0081008A" w:rsidRDefault="002D6182" w:rsidP="0081008A">
      <w:pPr>
        <w:pStyle w:val="ListParagraph"/>
        <w:numPr>
          <w:ilvl w:val="0"/>
          <w:numId w:val="7"/>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durata minimă de funcționare apreciată corespunzător destinației/funcțiunilor propuse</w:t>
      </w:r>
    </w:p>
    <w:p w14:paraId="12646F50" w14:textId="37F59DF7" w:rsidR="003B69CE" w:rsidRPr="0081008A" w:rsidRDefault="002D6182" w:rsidP="0081008A">
      <w:pPr>
        <w:pStyle w:val="ListParagraph"/>
        <w:numPr>
          <w:ilvl w:val="0"/>
          <w:numId w:val="7"/>
        </w:numPr>
        <w:shd w:val="clear" w:color="auto" w:fill="FFFFFF" w:themeFill="background1"/>
        <w:spacing w:after="0" w:line="240" w:lineRule="auto"/>
        <w:jc w:val="both"/>
        <w:rPr>
          <w:rStyle w:val="slitbdy"/>
          <w:rFonts w:ascii="Tahoma" w:hAnsi="Tahoma" w:cs="Tahoma"/>
          <w:color w:val="002060"/>
          <w:sz w:val="20"/>
          <w:szCs w:val="20"/>
          <w:lang w:val="ro-RO"/>
        </w:rPr>
      </w:pPr>
      <w:r w:rsidRPr="0081008A">
        <w:rPr>
          <w:rStyle w:val="slitbdy"/>
          <w:rFonts w:ascii="Tahoma" w:hAnsi="Tahoma" w:cs="Tahoma"/>
          <w:color w:val="002060"/>
          <w:sz w:val="20"/>
          <w:szCs w:val="20"/>
          <w:bdr w:val="none" w:sz="0" w:space="0" w:color="auto" w:frame="1"/>
          <w:shd w:val="clear" w:color="auto" w:fill="FFFFFF"/>
          <w:lang w:val="ro-RO"/>
        </w:rPr>
        <w:t>nevoi/solicitări funcționale specifice.</w:t>
      </w:r>
    </w:p>
    <w:p w14:paraId="64B9D868" w14:textId="50DF0F0D" w:rsidR="00222477" w:rsidRPr="0081008A" w:rsidRDefault="00222477" w:rsidP="0081008A">
      <w:pPr>
        <w:shd w:val="clear" w:color="auto" w:fill="FFFFFF" w:themeFill="background1"/>
        <w:spacing w:after="0" w:line="240" w:lineRule="auto"/>
        <w:jc w:val="both"/>
        <w:rPr>
          <w:rStyle w:val="slitbdy"/>
          <w:rFonts w:ascii="Tahoma" w:hAnsi="Tahoma" w:cs="Tahoma"/>
          <w:color w:val="002060"/>
          <w:sz w:val="20"/>
          <w:szCs w:val="20"/>
          <w:lang w:val="ro-RO"/>
        </w:rPr>
      </w:pPr>
    </w:p>
    <w:p w14:paraId="18514EDA" w14:textId="77777777" w:rsidR="00222477" w:rsidRPr="0081008A" w:rsidRDefault="00222477" w:rsidP="0081008A">
      <w:pPr>
        <w:shd w:val="clear" w:color="auto" w:fill="FFFFFF" w:themeFill="background1"/>
        <w:spacing w:after="0" w:line="240" w:lineRule="auto"/>
        <w:jc w:val="both"/>
        <w:rPr>
          <w:rStyle w:val="slitbdy"/>
          <w:rFonts w:ascii="Tahoma" w:hAnsi="Tahoma" w:cs="Tahoma"/>
          <w:color w:val="002060"/>
          <w:sz w:val="20"/>
          <w:szCs w:val="20"/>
          <w:lang w:val="ro-RO"/>
        </w:rPr>
      </w:pPr>
    </w:p>
    <w:p w14:paraId="0A2CCC2D" w14:textId="77777777" w:rsidR="00F20F80" w:rsidRPr="0081008A" w:rsidRDefault="002D6182" w:rsidP="0081008A">
      <w:pPr>
        <w:pStyle w:val="ListParagraph"/>
        <w:numPr>
          <w:ilvl w:val="0"/>
          <w:numId w:val="3"/>
        </w:numPr>
        <w:shd w:val="clear" w:color="auto" w:fill="FFFFFF" w:themeFill="background1"/>
        <w:spacing w:after="0" w:line="240" w:lineRule="auto"/>
        <w:ind w:left="360"/>
        <w:jc w:val="both"/>
        <w:rPr>
          <w:rStyle w:val="spctbdy"/>
          <w:rFonts w:ascii="Tahoma" w:hAnsi="Tahoma" w:cs="Tahoma"/>
          <w:color w:val="002060"/>
          <w:sz w:val="20"/>
          <w:szCs w:val="20"/>
          <w:lang w:val="ro-RO"/>
        </w:rPr>
      </w:pPr>
      <w:r w:rsidRPr="0081008A">
        <w:rPr>
          <w:rStyle w:val="spctbdy"/>
          <w:rFonts w:ascii="Tahoma" w:hAnsi="Tahoma" w:cs="Tahoma"/>
          <w:color w:val="002060"/>
          <w:sz w:val="20"/>
          <w:szCs w:val="20"/>
          <w:bdr w:val="none" w:sz="0" w:space="0" w:color="auto" w:frame="1"/>
          <w:shd w:val="clear" w:color="auto" w:fill="FFFFFF"/>
          <w:lang w:val="ro-RO"/>
        </w:rPr>
        <w:t>Justificarea necesității elaborării, după caz, a:</w:t>
      </w:r>
    </w:p>
    <w:p w14:paraId="7EDB1EB7" w14:textId="77777777" w:rsidR="00F20F80" w:rsidRPr="0081008A" w:rsidRDefault="002D6182" w:rsidP="0081008A">
      <w:pPr>
        <w:pStyle w:val="ListParagraph"/>
        <w:numPr>
          <w:ilvl w:val="0"/>
          <w:numId w:val="5"/>
        </w:numPr>
        <w:shd w:val="clear" w:color="auto" w:fill="FFFFFF" w:themeFill="background1"/>
        <w:spacing w:after="0" w:line="240" w:lineRule="auto"/>
        <w:ind w:left="720"/>
        <w:jc w:val="both"/>
        <w:rPr>
          <w:rStyle w:val="slinbdy"/>
          <w:rFonts w:ascii="Tahoma" w:hAnsi="Tahoma" w:cs="Tahoma"/>
          <w:color w:val="002060"/>
          <w:sz w:val="20"/>
          <w:szCs w:val="20"/>
          <w:lang w:val="ro-RO"/>
        </w:rPr>
      </w:pPr>
      <w:r w:rsidRPr="0081008A">
        <w:rPr>
          <w:rStyle w:val="slinbdy"/>
          <w:rFonts w:ascii="Tahoma" w:hAnsi="Tahoma" w:cs="Tahoma"/>
          <w:color w:val="002060"/>
          <w:sz w:val="20"/>
          <w:szCs w:val="20"/>
          <w:bdr w:val="none" w:sz="0" w:space="0" w:color="auto" w:frame="1"/>
          <w:shd w:val="clear" w:color="auto" w:fill="FFFFFF"/>
          <w:lang w:val="ro-RO"/>
        </w:rPr>
        <w:t>studiului de prefezabilitate, în cazul obiectivelor/proiectelor majore de investiții;</w:t>
      </w:r>
    </w:p>
    <w:p w14:paraId="3ECC48F7" w14:textId="77777777" w:rsidR="00F20F80" w:rsidRPr="0081008A" w:rsidRDefault="002D6182" w:rsidP="0081008A">
      <w:pPr>
        <w:pStyle w:val="ListParagraph"/>
        <w:numPr>
          <w:ilvl w:val="0"/>
          <w:numId w:val="5"/>
        </w:numPr>
        <w:shd w:val="clear" w:color="auto" w:fill="FFFFFF" w:themeFill="background1"/>
        <w:spacing w:after="0" w:line="240" w:lineRule="auto"/>
        <w:ind w:left="720"/>
        <w:jc w:val="both"/>
        <w:rPr>
          <w:rStyle w:val="slinbdy"/>
          <w:rFonts w:ascii="Tahoma" w:hAnsi="Tahoma" w:cs="Tahoma"/>
          <w:color w:val="002060"/>
          <w:sz w:val="20"/>
          <w:szCs w:val="20"/>
          <w:lang w:val="ro-RO"/>
        </w:rPr>
      </w:pPr>
      <w:r w:rsidRPr="0081008A">
        <w:rPr>
          <w:rStyle w:val="slinbdy"/>
          <w:rFonts w:ascii="Tahoma" w:hAnsi="Tahoma" w:cs="Tahoma"/>
          <w:color w:val="002060"/>
          <w:sz w:val="20"/>
          <w:szCs w:val="20"/>
          <w:bdr w:val="none" w:sz="0" w:space="0" w:color="auto" w:frame="1"/>
          <w:shd w:val="clear" w:color="auto" w:fill="FFFFFF"/>
          <w:lang w:val="ro-RO"/>
        </w:rPr>
        <w:t>expertizei tehnice și, după caz, a auditului energetic ori a altor studii de specialitate, audituri sau analize relevante, inclusiv analiza diagnostic, în cazul intervențiilor la construcții existente;</w:t>
      </w:r>
    </w:p>
    <w:p w14:paraId="4679089D" w14:textId="77777777" w:rsidR="00F20F80" w:rsidRPr="0081008A" w:rsidRDefault="002D6182" w:rsidP="0081008A">
      <w:pPr>
        <w:pStyle w:val="ListParagraph"/>
        <w:numPr>
          <w:ilvl w:val="0"/>
          <w:numId w:val="5"/>
        </w:numPr>
        <w:shd w:val="clear" w:color="auto" w:fill="FFFFFF" w:themeFill="background1"/>
        <w:spacing w:after="0" w:line="240" w:lineRule="auto"/>
        <w:ind w:left="720"/>
        <w:jc w:val="both"/>
        <w:rPr>
          <w:rStyle w:val="slinbdy"/>
          <w:rFonts w:ascii="Tahoma" w:hAnsi="Tahoma" w:cs="Tahoma"/>
          <w:color w:val="002060"/>
          <w:sz w:val="20"/>
          <w:szCs w:val="20"/>
          <w:lang w:val="ro-RO"/>
        </w:rPr>
      </w:pPr>
      <w:r w:rsidRPr="0081008A">
        <w:rPr>
          <w:rStyle w:val="slinbdy"/>
          <w:rFonts w:ascii="Tahoma" w:hAnsi="Tahoma" w:cs="Tahoma"/>
          <w:color w:val="002060"/>
          <w:sz w:val="20"/>
          <w:szCs w:val="20"/>
          <w:bdr w:val="none" w:sz="0" w:space="0" w:color="auto" w:frame="1"/>
          <w:shd w:val="clear" w:color="auto" w:fill="FFFFFF"/>
          <w:lang w:val="ro-RO"/>
        </w:rPr>
        <w:t>unui studiu de fundamentare a valorii resursei culturale referitoare la restricțiile și permisivitățile asociate cu obiectivul de investiții, în cazul intervențiilor pe monumente istorice sau în zone protejate.</w:t>
      </w:r>
    </w:p>
    <w:p w14:paraId="6C65E17F" w14:textId="77777777" w:rsidR="00F20F80" w:rsidRPr="0081008A" w:rsidRDefault="00F20F80" w:rsidP="0081008A">
      <w:pPr>
        <w:shd w:val="clear" w:color="auto" w:fill="FFFFFF" w:themeFill="background1"/>
        <w:spacing w:after="0" w:line="240" w:lineRule="auto"/>
        <w:jc w:val="both"/>
        <w:rPr>
          <w:rStyle w:val="spar"/>
          <w:rFonts w:ascii="Tahoma" w:hAnsi="Tahoma" w:cs="Tahoma"/>
          <w:color w:val="002060"/>
          <w:sz w:val="20"/>
          <w:szCs w:val="20"/>
          <w:bdr w:val="none" w:sz="0" w:space="0" w:color="auto" w:frame="1"/>
          <w:shd w:val="clear" w:color="auto" w:fill="FFFFFF"/>
          <w:lang w:val="ro-RO"/>
        </w:rPr>
      </w:pPr>
    </w:p>
    <w:p w14:paraId="66558B63" w14:textId="77777777" w:rsidR="00F20F80" w:rsidRPr="0081008A" w:rsidRDefault="002D6182" w:rsidP="0081008A">
      <w:pPr>
        <w:shd w:val="clear" w:color="auto" w:fill="FFFFFF" w:themeFill="background1"/>
        <w:spacing w:after="0" w:line="240" w:lineRule="auto"/>
        <w:jc w:val="both"/>
        <w:rPr>
          <w:rStyle w:val="spar"/>
          <w:rFonts w:ascii="Tahoma" w:hAnsi="Tahoma" w:cs="Tahoma"/>
          <w:color w:val="002060"/>
          <w:sz w:val="20"/>
          <w:szCs w:val="20"/>
          <w:bdr w:val="none" w:sz="0" w:space="0" w:color="auto" w:frame="1"/>
          <w:shd w:val="clear" w:color="auto" w:fill="FFFFFF"/>
          <w:lang w:val="ro-RO"/>
        </w:rPr>
      </w:pPr>
      <w:r w:rsidRPr="0081008A">
        <w:rPr>
          <w:rStyle w:val="spar"/>
          <w:rFonts w:ascii="Tahoma" w:hAnsi="Tahoma" w:cs="Tahoma"/>
          <w:color w:val="002060"/>
          <w:sz w:val="20"/>
          <w:szCs w:val="20"/>
          <w:bdr w:val="none" w:sz="0" w:space="0" w:color="auto" w:frame="1"/>
          <w:shd w:val="clear" w:color="auto" w:fill="FFFFFF"/>
          <w:lang w:val="ro-RO"/>
        </w:rPr>
        <w:t>Data:.....................</w:t>
      </w:r>
    </w:p>
    <w:p w14:paraId="4B754787" w14:textId="77777777" w:rsidR="00F20F80" w:rsidRPr="0081008A" w:rsidRDefault="002D6182" w:rsidP="0081008A">
      <w:pPr>
        <w:shd w:val="clear" w:color="auto" w:fill="FFFFFF" w:themeFill="background1"/>
        <w:spacing w:after="0" w:line="240" w:lineRule="auto"/>
        <w:jc w:val="both"/>
        <w:rPr>
          <w:rStyle w:val="spar"/>
          <w:rFonts w:ascii="Tahoma" w:hAnsi="Tahoma" w:cs="Tahoma"/>
          <w:color w:val="002060"/>
          <w:sz w:val="20"/>
          <w:szCs w:val="20"/>
          <w:bdr w:val="none" w:sz="0" w:space="0" w:color="auto" w:frame="1"/>
          <w:shd w:val="clear" w:color="auto" w:fill="FFFFFF"/>
          <w:lang w:val="ro-RO"/>
        </w:rPr>
      </w:pPr>
      <w:r w:rsidRPr="0081008A">
        <w:rPr>
          <w:rStyle w:val="spar"/>
          <w:rFonts w:ascii="Tahoma" w:hAnsi="Tahoma" w:cs="Tahoma"/>
          <w:color w:val="002060"/>
          <w:sz w:val="20"/>
          <w:szCs w:val="20"/>
          <w:bdr w:val="none" w:sz="0" w:space="0" w:color="auto" w:frame="1"/>
          <w:shd w:val="clear" w:color="auto" w:fill="FFFFFF"/>
          <w:lang w:val="ro-RO"/>
        </w:rPr>
        <w:t>Întocmit..........................................</w:t>
      </w:r>
    </w:p>
    <w:p w14:paraId="77E78625" w14:textId="7AD1534A" w:rsidR="00110BCD" w:rsidRPr="0081008A" w:rsidRDefault="002D6182" w:rsidP="0081008A">
      <w:pPr>
        <w:shd w:val="clear" w:color="auto" w:fill="FFFFFF" w:themeFill="background1"/>
        <w:spacing w:after="0" w:line="240" w:lineRule="auto"/>
        <w:jc w:val="both"/>
        <w:rPr>
          <w:rFonts w:ascii="Tahoma" w:hAnsi="Tahoma" w:cs="Tahoma"/>
          <w:color w:val="002060"/>
          <w:sz w:val="20"/>
          <w:szCs w:val="20"/>
          <w:lang w:val="ro-RO"/>
        </w:rPr>
      </w:pPr>
      <w:r w:rsidRPr="0081008A">
        <w:rPr>
          <w:rStyle w:val="spar"/>
          <w:rFonts w:ascii="Tahoma" w:hAnsi="Tahoma" w:cs="Tahoma"/>
          <w:color w:val="002060"/>
          <w:sz w:val="20"/>
          <w:szCs w:val="20"/>
          <w:bdr w:val="none" w:sz="0" w:space="0" w:color="auto" w:frame="1"/>
          <w:shd w:val="clear" w:color="auto" w:fill="FFFFFF"/>
          <w:lang w:val="ro-RO"/>
        </w:rPr>
        <w:t>(numele, funcția, compartimentul și semnătura)</w:t>
      </w:r>
    </w:p>
    <w:sectPr w:rsidR="00110BCD" w:rsidRPr="0081008A" w:rsidSect="00222477">
      <w:footerReference w:type="default" r:id="rId9"/>
      <w:pgSz w:w="12240" w:h="15840"/>
      <w:pgMar w:top="1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FCB1F" w14:textId="77777777" w:rsidR="001345E5" w:rsidRDefault="001345E5" w:rsidP="002D6182">
      <w:pPr>
        <w:spacing w:after="0" w:line="240" w:lineRule="auto"/>
      </w:pPr>
      <w:r>
        <w:separator/>
      </w:r>
    </w:p>
  </w:endnote>
  <w:endnote w:type="continuationSeparator" w:id="0">
    <w:p w14:paraId="20AF7D52" w14:textId="77777777" w:rsidR="001345E5" w:rsidRDefault="001345E5" w:rsidP="002D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662960"/>
      <w:docPartObj>
        <w:docPartGallery w:val="Page Numbers (Bottom of Page)"/>
        <w:docPartUnique/>
      </w:docPartObj>
    </w:sdtPr>
    <w:sdtEndPr>
      <w:rPr>
        <w:noProof/>
      </w:rPr>
    </w:sdtEndPr>
    <w:sdtContent>
      <w:p w14:paraId="761A264D" w14:textId="4A90DC94" w:rsidR="003B69CE" w:rsidRDefault="003B69CE" w:rsidP="003B69CE">
        <w:pPr>
          <w:pStyle w:val="Footer"/>
          <w:jc w:val="right"/>
        </w:pPr>
        <w:r>
          <w:fldChar w:fldCharType="begin"/>
        </w:r>
        <w:r>
          <w:instrText xml:space="preserve"> PAGE   \* MERGEFORMAT </w:instrText>
        </w:r>
        <w:r>
          <w:fldChar w:fldCharType="separate"/>
        </w:r>
        <w:r w:rsidR="00144D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9286" w14:textId="77777777" w:rsidR="001345E5" w:rsidRDefault="001345E5" w:rsidP="002D6182">
      <w:pPr>
        <w:spacing w:after="0" w:line="240" w:lineRule="auto"/>
      </w:pPr>
      <w:r>
        <w:separator/>
      </w:r>
    </w:p>
  </w:footnote>
  <w:footnote w:type="continuationSeparator" w:id="0">
    <w:p w14:paraId="472A8E5D" w14:textId="77777777" w:rsidR="001345E5" w:rsidRDefault="001345E5" w:rsidP="002D6182">
      <w:pPr>
        <w:spacing w:after="0" w:line="240" w:lineRule="auto"/>
      </w:pPr>
      <w:r>
        <w:continuationSeparator/>
      </w:r>
    </w:p>
  </w:footnote>
  <w:footnote w:id="1">
    <w:p w14:paraId="5084B61A" w14:textId="57144390" w:rsidR="002D6182" w:rsidRPr="003914DC" w:rsidRDefault="002D6182" w:rsidP="002D6182">
      <w:pPr>
        <w:spacing w:after="0" w:line="240" w:lineRule="auto"/>
        <w:rPr>
          <w:rStyle w:val="sartttl"/>
          <w:rFonts w:ascii="Arial Narrow" w:hAnsi="Arial Narrow"/>
          <w:b/>
          <w:bCs/>
          <w:color w:val="002060"/>
          <w:sz w:val="18"/>
          <w:szCs w:val="18"/>
          <w:bdr w:val="none" w:sz="0" w:space="0" w:color="auto" w:frame="1"/>
          <w:shd w:val="clear" w:color="auto" w:fill="FFFFFF"/>
          <w:lang w:val="ro-RO"/>
        </w:rPr>
      </w:pPr>
      <w:r w:rsidRPr="003914DC">
        <w:rPr>
          <w:rStyle w:val="FootnoteReference"/>
          <w:rFonts w:ascii="Arial Narrow" w:hAnsi="Arial Narrow"/>
          <w:color w:val="002060"/>
          <w:sz w:val="18"/>
          <w:szCs w:val="18"/>
        </w:rPr>
        <w:footnoteRef/>
      </w:r>
      <w:r w:rsidRPr="003914DC">
        <w:rPr>
          <w:rStyle w:val="sden"/>
          <w:rFonts w:ascii="Arial Narrow" w:hAnsi="Arial Narrow"/>
          <w:color w:val="002060"/>
          <w:sz w:val="18"/>
          <w:szCs w:val="18"/>
          <w:bdr w:val="none" w:sz="0" w:space="0" w:color="auto" w:frame="1"/>
          <w:shd w:val="clear" w:color="auto" w:fill="FFFFFF"/>
          <w:lang w:val="ro-RO"/>
        </w:rPr>
        <w:t xml:space="preserve">Conform </w:t>
      </w:r>
      <w:r w:rsidRPr="003914DC">
        <w:rPr>
          <w:rStyle w:val="sden"/>
          <w:rFonts w:ascii="Arial Narrow" w:hAnsi="Arial Narrow"/>
          <w:i/>
          <w:iCs/>
          <w:color w:val="002060"/>
          <w:sz w:val="18"/>
          <w:szCs w:val="18"/>
          <w:bdr w:val="none" w:sz="0" w:space="0" w:color="auto" w:frame="1"/>
          <w:shd w:val="clear" w:color="auto" w:fill="FFFFFF"/>
          <w:lang w:val="ro-RO"/>
        </w:rPr>
        <w:t xml:space="preserve">HG nr. 907 din 29 noiembrie 2016 </w:t>
      </w:r>
      <w:r w:rsidRPr="003914DC">
        <w:rPr>
          <w:rStyle w:val="shdr"/>
          <w:rFonts w:ascii="Arial Narrow" w:hAnsi="Arial Narrow"/>
          <w:i/>
          <w:iCs/>
          <w:color w:val="002060"/>
          <w:sz w:val="18"/>
          <w:szCs w:val="18"/>
          <w:bdr w:val="none" w:sz="0" w:space="0" w:color="auto" w:frame="1"/>
          <w:shd w:val="clear" w:color="auto" w:fill="FFFFFF"/>
          <w:lang w:val="ro-RO"/>
        </w:rPr>
        <w:t xml:space="preserve">privind etapele de elaborare și conținutul-cadru al documentațiilor tehnico-economice aferente obiectivelor/proiectelor de investiții finanțate din fonduri publice, cu modificările și completările ulterioare, </w:t>
      </w:r>
      <w:r w:rsidRPr="003914DC">
        <w:rPr>
          <w:rStyle w:val="scapttl"/>
          <w:rFonts w:ascii="Arial Narrow" w:hAnsi="Arial Narrow"/>
          <w:b/>
          <w:bCs/>
          <w:color w:val="002060"/>
          <w:sz w:val="18"/>
          <w:szCs w:val="18"/>
          <w:bdr w:val="none" w:sz="0" w:space="0" w:color="auto" w:frame="1"/>
          <w:shd w:val="clear" w:color="auto" w:fill="FFFFFF"/>
          <w:lang w:val="ro-RO"/>
        </w:rPr>
        <w:t>Capitolul II</w:t>
      </w:r>
      <w:r w:rsidRPr="003914DC">
        <w:rPr>
          <w:rStyle w:val="scapden"/>
          <w:rFonts w:ascii="Arial Narrow" w:hAnsi="Arial Narrow"/>
          <w:b/>
          <w:bCs/>
          <w:color w:val="002060"/>
          <w:sz w:val="18"/>
          <w:szCs w:val="18"/>
          <w:bdr w:val="none" w:sz="0" w:space="0" w:color="auto" w:frame="1"/>
          <w:shd w:val="clear" w:color="auto" w:fill="FFFFFF"/>
          <w:lang w:val="ro-RO"/>
        </w:rPr>
        <w:t xml:space="preserve"> - Nota conceptuală și tema de proiectare, </w:t>
      </w:r>
      <w:r w:rsidRPr="003914DC">
        <w:rPr>
          <w:rStyle w:val="sartttl"/>
          <w:rFonts w:ascii="Arial Narrow" w:hAnsi="Arial Narrow"/>
          <w:b/>
          <w:bCs/>
          <w:color w:val="002060"/>
          <w:sz w:val="18"/>
          <w:szCs w:val="18"/>
          <w:bdr w:val="none" w:sz="0" w:space="0" w:color="auto" w:frame="1"/>
          <w:shd w:val="clear" w:color="auto" w:fill="FFFFFF"/>
          <w:lang w:val="ro-RO"/>
        </w:rPr>
        <w:t>Articolul 3:</w:t>
      </w:r>
    </w:p>
    <w:p w14:paraId="0E4AD712" w14:textId="77777777" w:rsidR="002D6182" w:rsidRPr="003914DC" w:rsidRDefault="002D6182" w:rsidP="002D6182">
      <w:pPr>
        <w:pStyle w:val="ListParagraph"/>
        <w:numPr>
          <w:ilvl w:val="0"/>
          <w:numId w:val="1"/>
        </w:numPr>
        <w:spacing w:after="0" w:line="240" w:lineRule="auto"/>
        <w:ind w:left="360"/>
        <w:rPr>
          <w:rStyle w:val="salnbdy"/>
          <w:rFonts w:ascii="Arial Narrow" w:hAnsi="Arial Narrow"/>
          <w:i/>
          <w:iCs/>
          <w:color w:val="002060"/>
          <w:sz w:val="18"/>
          <w:szCs w:val="18"/>
          <w:bdr w:val="none" w:sz="0" w:space="0" w:color="auto" w:frame="1"/>
          <w:shd w:val="clear" w:color="auto" w:fill="FFFFFF"/>
          <w:lang w:val="ro-RO"/>
        </w:rPr>
      </w:pPr>
      <w:r w:rsidRPr="003914DC">
        <w:rPr>
          <w:rStyle w:val="salnbdy"/>
          <w:rFonts w:ascii="Arial Narrow" w:hAnsi="Arial Narrow"/>
          <w:i/>
          <w:iCs/>
          <w:color w:val="002060"/>
          <w:sz w:val="18"/>
          <w:szCs w:val="18"/>
          <w:bdr w:val="none" w:sz="0" w:space="0" w:color="auto" w:frame="1"/>
          <w:shd w:val="clear" w:color="auto" w:fill="FFFFFF"/>
          <w:lang w:val="ro-RO"/>
        </w:rPr>
        <w:t>Nota conceptuală este documentația întocmită de beneficiarul investiției în scopul justificării necesității și oportunității realizării unui obiectiv de investiții, finanțat total sau parțial din fonduri publice.</w:t>
      </w:r>
    </w:p>
    <w:p w14:paraId="13512CC5" w14:textId="77777777" w:rsidR="002D6182" w:rsidRPr="003914DC" w:rsidRDefault="002D6182" w:rsidP="002D6182">
      <w:pPr>
        <w:pStyle w:val="ListParagraph"/>
        <w:numPr>
          <w:ilvl w:val="0"/>
          <w:numId w:val="1"/>
        </w:numPr>
        <w:spacing w:after="0" w:line="240" w:lineRule="auto"/>
        <w:ind w:left="360"/>
        <w:rPr>
          <w:rStyle w:val="salnbdy"/>
          <w:rFonts w:ascii="Arial Narrow" w:hAnsi="Arial Narrow"/>
          <w:color w:val="002060"/>
          <w:sz w:val="18"/>
          <w:szCs w:val="18"/>
          <w:lang w:val="ro-RO"/>
        </w:rPr>
      </w:pPr>
      <w:r w:rsidRPr="003914DC">
        <w:rPr>
          <w:rStyle w:val="salnbdy"/>
          <w:rFonts w:ascii="Arial Narrow" w:hAnsi="Arial Narrow"/>
          <w:i/>
          <w:iCs/>
          <w:color w:val="002060"/>
          <w:sz w:val="18"/>
          <w:szCs w:val="18"/>
          <w:bdr w:val="none" w:sz="0" w:space="0" w:color="auto" w:frame="1"/>
          <w:shd w:val="clear" w:color="auto" w:fill="FFFFFF"/>
          <w:lang w:val="ro-RO"/>
        </w:rPr>
        <w:t>Prin nota conceptuală se evidențiază datele preliminare necesare implementării obiectivului de investiții propus și se prezintă informații cu privire la estimarea suportabilității investiției publice.</w:t>
      </w:r>
    </w:p>
    <w:p w14:paraId="59329EFD" w14:textId="0C32C8E2" w:rsidR="002D6182" w:rsidRPr="003914DC" w:rsidRDefault="002D6182" w:rsidP="002D6182">
      <w:pPr>
        <w:pStyle w:val="ListParagraph"/>
        <w:numPr>
          <w:ilvl w:val="0"/>
          <w:numId w:val="1"/>
        </w:numPr>
        <w:spacing w:after="0" w:line="240" w:lineRule="auto"/>
        <w:ind w:left="360"/>
        <w:rPr>
          <w:rFonts w:ascii="Arial Narrow" w:hAnsi="Arial Narrow"/>
          <w:color w:val="002060"/>
          <w:sz w:val="18"/>
          <w:szCs w:val="18"/>
          <w:lang w:val="ro-RO"/>
        </w:rPr>
      </w:pPr>
      <w:r w:rsidRPr="003914DC">
        <w:rPr>
          <w:rStyle w:val="salnbdy"/>
          <w:rFonts w:ascii="Arial Narrow" w:hAnsi="Arial Narrow"/>
          <w:i/>
          <w:iCs/>
          <w:color w:val="002060"/>
          <w:sz w:val="18"/>
          <w:szCs w:val="18"/>
          <w:bdr w:val="none" w:sz="0" w:space="0" w:color="auto" w:frame="1"/>
          <w:shd w:val="clear" w:color="auto" w:fill="FFFFFF"/>
          <w:lang w:val="ro-RO"/>
        </w:rPr>
        <w:t xml:space="preserve">Conținutul-cadru al notei conceptuale este prevăzut în </w:t>
      </w:r>
      <w:r w:rsidRPr="003914DC">
        <w:rPr>
          <w:rStyle w:val="slgi"/>
          <w:rFonts w:ascii="Arial Narrow" w:hAnsi="Arial Narrow"/>
          <w:i/>
          <w:iCs/>
          <w:color w:val="002060"/>
          <w:sz w:val="18"/>
          <w:szCs w:val="18"/>
          <w:u w:val="single"/>
          <w:bdr w:val="none" w:sz="0" w:space="0" w:color="auto" w:frame="1"/>
          <w:shd w:val="clear" w:color="auto" w:fill="FFFFFF"/>
          <w:lang w:val="ro-RO"/>
        </w:rPr>
        <w:t>anexa nr. 1</w:t>
      </w:r>
      <w:r w:rsidRPr="003914DC">
        <w:rPr>
          <w:rStyle w:val="slgi"/>
          <w:rFonts w:ascii="Arial Narrow" w:hAnsi="Arial Narrow"/>
          <w:color w:val="002060"/>
          <w:sz w:val="18"/>
          <w:szCs w:val="18"/>
          <w:u w:val="single"/>
          <w:bdr w:val="none" w:sz="0" w:space="0" w:color="auto" w:frame="1"/>
          <w:shd w:val="clear" w:color="auto" w:fill="FFFFFF"/>
          <w:lang w:val="ro-RO"/>
        </w:rPr>
        <w:t xml:space="preserve"> (n.b. la HG)</w:t>
      </w:r>
      <w:r w:rsidRPr="003914DC">
        <w:rPr>
          <w:rStyle w:val="salnbdy"/>
          <w:rFonts w:ascii="Arial Narrow" w:hAnsi="Arial Narrow"/>
          <w:color w:val="002060"/>
          <w:sz w:val="18"/>
          <w:szCs w:val="18"/>
          <w:bdr w:val="none" w:sz="0" w:space="0" w:color="auto" w:frame="1"/>
          <w:shd w:val="clear" w:color="auto" w:fill="FFFFFF"/>
          <w:lang w:val="ro-RO"/>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06"/>
    <w:multiLevelType w:val="hybridMultilevel"/>
    <w:tmpl w:val="6E563A4E"/>
    <w:lvl w:ilvl="0" w:tplc="11403C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52032F"/>
    <w:multiLevelType w:val="hybridMultilevel"/>
    <w:tmpl w:val="80FA7858"/>
    <w:lvl w:ilvl="0" w:tplc="F176F41C">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817BE0"/>
    <w:multiLevelType w:val="hybridMultilevel"/>
    <w:tmpl w:val="9C2238B8"/>
    <w:lvl w:ilvl="0" w:tplc="75B8B1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B1851"/>
    <w:multiLevelType w:val="multilevel"/>
    <w:tmpl w:val="38A0B9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15:restartNumberingAfterBreak="0">
    <w:nsid w:val="6D2B58E8"/>
    <w:multiLevelType w:val="hybridMultilevel"/>
    <w:tmpl w:val="EF74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3470C"/>
    <w:multiLevelType w:val="hybridMultilevel"/>
    <w:tmpl w:val="F418D660"/>
    <w:lvl w:ilvl="0" w:tplc="C9B4970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516AB5"/>
    <w:multiLevelType w:val="hybridMultilevel"/>
    <w:tmpl w:val="CED42CA0"/>
    <w:lvl w:ilvl="0" w:tplc="99D06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182"/>
    <w:rsid w:val="000264E6"/>
    <w:rsid w:val="00097A57"/>
    <w:rsid w:val="00110BCD"/>
    <w:rsid w:val="001345E5"/>
    <w:rsid w:val="00144DF7"/>
    <w:rsid w:val="00171E79"/>
    <w:rsid w:val="001C38F4"/>
    <w:rsid w:val="00222477"/>
    <w:rsid w:val="002B7A58"/>
    <w:rsid w:val="002D6182"/>
    <w:rsid w:val="00320E43"/>
    <w:rsid w:val="00336A08"/>
    <w:rsid w:val="00380B16"/>
    <w:rsid w:val="003914DC"/>
    <w:rsid w:val="003B69CE"/>
    <w:rsid w:val="005350D6"/>
    <w:rsid w:val="005A3FA0"/>
    <w:rsid w:val="005C0C54"/>
    <w:rsid w:val="00641EC8"/>
    <w:rsid w:val="006F4FEA"/>
    <w:rsid w:val="0081008A"/>
    <w:rsid w:val="008633EF"/>
    <w:rsid w:val="009E1D61"/>
    <w:rsid w:val="00AA6AFF"/>
    <w:rsid w:val="00B84773"/>
    <w:rsid w:val="00C90D10"/>
    <w:rsid w:val="00D3744F"/>
    <w:rsid w:val="00F20F80"/>
    <w:rsid w:val="00FD31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5A8"/>
  <w15:docId w15:val="{DD49604A-EAE6-4382-88AA-E0941B60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ar">
    <w:name w:val="a_par"/>
    <w:basedOn w:val="DefaultParagraphFont"/>
    <w:rsid w:val="002D6182"/>
  </w:style>
  <w:style w:type="character" w:customStyle="1" w:styleId="spct">
    <w:name w:val="s_pct"/>
    <w:basedOn w:val="DefaultParagraphFont"/>
    <w:rsid w:val="002D6182"/>
  </w:style>
  <w:style w:type="character" w:customStyle="1" w:styleId="spctttl">
    <w:name w:val="s_pct_ttl"/>
    <w:basedOn w:val="DefaultParagraphFont"/>
    <w:rsid w:val="002D6182"/>
  </w:style>
  <w:style w:type="character" w:customStyle="1" w:styleId="spctbdy">
    <w:name w:val="s_pct_bdy"/>
    <w:basedOn w:val="DefaultParagraphFont"/>
    <w:rsid w:val="002D6182"/>
  </w:style>
  <w:style w:type="character" w:customStyle="1" w:styleId="slit">
    <w:name w:val="s_lit"/>
    <w:basedOn w:val="DefaultParagraphFont"/>
    <w:rsid w:val="002D6182"/>
  </w:style>
  <w:style w:type="character" w:customStyle="1" w:styleId="slitttl">
    <w:name w:val="s_lit_ttl"/>
    <w:basedOn w:val="DefaultParagraphFont"/>
    <w:rsid w:val="002D6182"/>
  </w:style>
  <w:style w:type="character" w:customStyle="1" w:styleId="slitbdy">
    <w:name w:val="s_lit_bdy"/>
    <w:basedOn w:val="DefaultParagraphFont"/>
    <w:rsid w:val="002D6182"/>
  </w:style>
  <w:style w:type="character" w:customStyle="1" w:styleId="slinttl">
    <w:name w:val="s_lin_ttl"/>
    <w:basedOn w:val="DefaultParagraphFont"/>
    <w:rsid w:val="002D6182"/>
  </w:style>
  <w:style w:type="character" w:customStyle="1" w:styleId="slinbdy">
    <w:name w:val="s_lin_bdy"/>
    <w:basedOn w:val="DefaultParagraphFont"/>
    <w:rsid w:val="002D6182"/>
  </w:style>
  <w:style w:type="character" w:customStyle="1" w:styleId="spar">
    <w:name w:val="s_par"/>
    <w:basedOn w:val="DefaultParagraphFont"/>
    <w:rsid w:val="002D6182"/>
  </w:style>
  <w:style w:type="character" w:customStyle="1" w:styleId="sanxttl">
    <w:name w:val="s_anx_ttl"/>
    <w:basedOn w:val="DefaultParagraphFont"/>
    <w:rsid w:val="002D6182"/>
  </w:style>
  <w:style w:type="character" w:customStyle="1" w:styleId="scapttl">
    <w:name w:val="s_cap_ttl"/>
    <w:basedOn w:val="DefaultParagraphFont"/>
    <w:rsid w:val="002D6182"/>
  </w:style>
  <w:style w:type="character" w:customStyle="1" w:styleId="scapden">
    <w:name w:val="s_cap_den"/>
    <w:basedOn w:val="DefaultParagraphFont"/>
    <w:rsid w:val="002D6182"/>
  </w:style>
  <w:style w:type="character" w:customStyle="1" w:styleId="sartttl">
    <w:name w:val="s_art_ttl"/>
    <w:basedOn w:val="DefaultParagraphFont"/>
    <w:rsid w:val="002D6182"/>
  </w:style>
  <w:style w:type="character" w:customStyle="1" w:styleId="saln">
    <w:name w:val="s_aln"/>
    <w:basedOn w:val="DefaultParagraphFont"/>
    <w:rsid w:val="002D6182"/>
  </w:style>
  <w:style w:type="character" w:customStyle="1" w:styleId="salnttl">
    <w:name w:val="s_aln_ttl"/>
    <w:basedOn w:val="DefaultParagraphFont"/>
    <w:rsid w:val="002D6182"/>
  </w:style>
  <w:style w:type="character" w:customStyle="1" w:styleId="salnbdy">
    <w:name w:val="s_aln_bdy"/>
    <w:basedOn w:val="DefaultParagraphFont"/>
    <w:rsid w:val="002D6182"/>
  </w:style>
  <w:style w:type="character" w:customStyle="1" w:styleId="slgi">
    <w:name w:val="s_lgi"/>
    <w:basedOn w:val="DefaultParagraphFont"/>
    <w:rsid w:val="002D6182"/>
  </w:style>
  <w:style w:type="character" w:customStyle="1" w:styleId="sden">
    <w:name w:val="s_den"/>
    <w:basedOn w:val="DefaultParagraphFont"/>
    <w:rsid w:val="002D6182"/>
  </w:style>
  <w:style w:type="character" w:customStyle="1" w:styleId="shdr">
    <w:name w:val="s_hdr"/>
    <w:basedOn w:val="DefaultParagraphFont"/>
    <w:rsid w:val="002D6182"/>
  </w:style>
  <w:style w:type="paragraph" w:styleId="ListParagraph">
    <w:name w:val="List Paragraph"/>
    <w:basedOn w:val="Normal"/>
    <w:uiPriority w:val="34"/>
    <w:qFormat/>
    <w:rsid w:val="002D6182"/>
    <w:pPr>
      <w:ind w:left="720"/>
      <w:contextualSpacing/>
    </w:pPr>
  </w:style>
  <w:style w:type="paragraph" w:styleId="FootnoteText">
    <w:name w:val="footnote text"/>
    <w:basedOn w:val="Normal"/>
    <w:link w:val="FootnoteTextChar"/>
    <w:uiPriority w:val="99"/>
    <w:semiHidden/>
    <w:unhideWhenUsed/>
    <w:rsid w:val="002D6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182"/>
    <w:rPr>
      <w:sz w:val="20"/>
      <w:szCs w:val="20"/>
    </w:rPr>
  </w:style>
  <w:style w:type="character" w:styleId="FootnoteReference">
    <w:name w:val="footnote reference"/>
    <w:basedOn w:val="DefaultParagraphFont"/>
    <w:uiPriority w:val="99"/>
    <w:semiHidden/>
    <w:unhideWhenUsed/>
    <w:rsid w:val="002D6182"/>
    <w:rPr>
      <w:vertAlign w:val="superscript"/>
    </w:rPr>
  </w:style>
  <w:style w:type="paragraph" w:styleId="Header">
    <w:name w:val="header"/>
    <w:basedOn w:val="Normal"/>
    <w:link w:val="HeaderChar"/>
    <w:uiPriority w:val="99"/>
    <w:unhideWhenUsed/>
    <w:rsid w:val="003B69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CE"/>
  </w:style>
  <w:style w:type="paragraph" w:styleId="Footer">
    <w:name w:val="footer"/>
    <w:basedOn w:val="Normal"/>
    <w:link w:val="FooterChar"/>
    <w:uiPriority w:val="99"/>
    <w:unhideWhenUsed/>
    <w:rsid w:val="003B69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CE"/>
  </w:style>
  <w:style w:type="paragraph" w:styleId="BalloonText">
    <w:name w:val="Balloon Text"/>
    <w:basedOn w:val="Normal"/>
    <w:link w:val="BalloonTextChar"/>
    <w:uiPriority w:val="99"/>
    <w:semiHidden/>
    <w:unhideWhenUsed/>
    <w:rsid w:val="00641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5749-D7EE-46F8-AD90-ED49249E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Andronie Alexandra</cp:lastModifiedBy>
  <cp:revision>2</cp:revision>
  <dcterms:created xsi:type="dcterms:W3CDTF">2024-07-16T07:25:00Z</dcterms:created>
  <dcterms:modified xsi:type="dcterms:W3CDTF">2024-07-16T07:25:00Z</dcterms:modified>
</cp:coreProperties>
</file>