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0" w:name="do"/>
      <w:r w:rsidRPr="00CC2E4A">
        <w:rPr>
          <w:rFonts w:ascii="Verdana" w:eastAsia="Times New Roman" w:hAnsi="Verdana" w:cs="Times New Roman"/>
          <w:b/>
          <w:bCs/>
          <w:noProof/>
          <w:color w:val="333399"/>
          <w:lang w:val="en-US"/>
        </w:rPr>
        <w:drawing>
          <wp:inline distT="0" distB="0" distL="0" distR="0">
            <wp:extent cx="95250" cy="95250"/>
            <wp:effectExtent l="0" t="0" r="0" b="0"/>
            <wp:docPr id="15" name="Picture 15"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CC2E4A">
        <w:rPr>
          <w:rFonts w:ascii="Verdana" w:eastAsia="Times New Roman" w:hAnsi="Verdana" w:cs="Times New Roman"/>
          <w:b/>
          <w:bCs/>
          <w:sz w:val="26"/>
          <w:szCs w:val="26"/>
          <w:lang w:val="en-US"/>
        </w:rPr>
        <w:t xml:space="preserve">ORDIN nr. 504 din 29 noiembrie 2023 pentru modificarea şi completarea anexei la Ordinul ministrului agriculturii şi dezvoltării rurale nr. </w:t>
      </w:r>
      <w:hyperlink r:id="rId6" w:history="1">
        <w:r w:rsidRPr="00CC2E4A">
          <w:rPr>
            <w:rFonts w:ascii="Verdana" w:eastAsia="Times New Roman" w:hAnsi="Verdana" w:cs="Times New Roman"/>
            <w:b/>
            <w:bCs/>
            <w:color w:val="333399"/>
            <w:sz w:val="26"/>
            <w:szCs w:val="26"/>
            <w:u w:val="single"/>
            <w:lang w:val="en-US"/>
          </w:rPr>
          <w:t>107/2017</w:t>
        </w:r>
      </w:hyperlink>
      <w:r w:rsidRPr="00CC2E4A">
        <w:rPr>
          <w:rFonts w:ascii="Verdana" w:eastAsia="Times New Roman" w:hAnsi="Verdana" w:cs="Times New Roman"/>
          <w:b/>
          <w:bCs/>
          <w:sz w:val="26"/>
          <w:szCs w:val="26"/>
          <w:lang w:val="en-US"/>
        </w:rPr>
        <w:t xml:space="preserve"> privind aprobarea schemei de ajutor </w:t>
      </w:r>
      <w:r w:rsidRPr="00CC2E4A">
        <w:rPr>
          <w:rFonts w:ascii="Verdana" w:eastAsia="Times New Roman" w:hAnsi="Verdana" w:cs="Times New Roman"/>
          <w:b/>
          <w:bCs/>
          <w:i/>
          <w:iCs/>
          <w:sz w:val="26"/>
          <w:szCs w:val="26"/>
          <w:lang w:val="en-US"/>
        </w:rPr>
        <w:t>de minimis</w:t>
      </w:r>
      <w:r w:rsidRPr="00CC2E4A">
        <w:rPr>
          <w:rFonts w:ascii="Verdana" w:eastAsia="Times New Roman" w:hAnsi="Verdana" w:cs="Times New Roman"/>
          <w:b/>
          <w:bCs/>
          <w:sz w:val="26"/>
          <w:szCs w:val="26"/>
          <w:lang w:val="en-US"/>
        </w:rPr>
        <w:t xml:space="preserve"> "Sprijin pentru implementarea acţiunilor în cadrul strategiei de dezvoltare locală"</w:t>
      </w:r>
      <w:r w:rsidRPr="00CC2E4A">
        <w:rPr>
          <w:rFonts w:ascii="Verdana" w:eastAsia="Times New Roman" w:hAnsi="Verdana" w:cs="Times New Roman"/>
          <w:lang w:val="en-US"/>
        </w:rPr>
        <w:br/>
      </w:r>
      <w:r w:rsidRPr="00CC2E4A">
        <w:rPr>
          <w:rFonts w:ascii="Verdana" w:eastAsia="Times New Roman" w:hAnsi="Verdana" w:cs="Times New Roman"/>
          <w:sz w:val="15"/>
          <w:szCs w:val="15"/>
          <w:lang w:val="en-US"/>
        </w:rPr>
        <w:t>Forma sintetică la data 08-Dec-2023. Acest act a fost creat utilizand tehnologia SintAct®-Acte Sintetice. SintAct® şi tehnologia Acte Sintetice sunt mărci inregistrate ale Wolters Kluwer.</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 w:name="do|pa1"/>
      <w:bookmarkEnd w:id="1"/>
      <w:r w:rsidRPr="00CC2E4A">
        <w:rPr>
          <w:rFonts w:ascii="Verdana" w:eastAsia="Times New Roman" w:hAnsi="Verdana" w:cs="Times New Roman"/>
          <w:lang w:val="en-US"/>
        </w:rPr>
        <w:t>Având în vedere Referatul de aprobare nr. 204.102 din 29.11.2023 întocmit de Direcţia generală dezvoltare rurală - Autoritate de management pentru Programul Naţional de Dezvoltare Rurală şi Avizul Consiliului Concurenţei nr. 16.246 din 28.11.2023,</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 w:name="do|pa2"/>
      <w:bookmarkEnd w:id="2"/>
      <w:r w:rsidRPr="00CC2E4A">
        <w:rPr>
          <w:rFonts w:ascii="Verdana" w:eastAsia="Times New Roman" w:hAnsi="Verdana" w:cs="Times New Roman"/>
          <w:lang w:val="en-US"/>
        </w:rPr>
        <w:t>ţinând seama de prevederile: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 w:name="do|pa3"/>
      <w:bookmarkEnd w:id="3"/>
      <w:r w:rsidRPr="00CC2E4A">
        <w:rPr>
          <w:rFonts w:ascii="Verdana" w:eastAsia="Times New Roman" w:hAnsi="Verdana" w:cs="Times New Roman"/>
          <w:lang w:val="en-US"/>
        </w:rPr>
        <w:t xml:space="preserve">- art. 154 din Regulamentul (UE) </w:t>
      </w:r>
      <w:hyperlink r:id="rId7" w:history="1">
        <w:r w:rsidRPr="00CC2E4A">
          <w:rPr>
            <w:rFonts w:ascii="Verdana" w:eastAsia="Times New Roman" w:hAnsi="Verdana" w:cs="Times New Roman"/>
            <w:b/>
            <w:bCs/>
            <w:color w:val="333399"/>
            <w:u w:val="single"/>
            <w:lang w:val="en-US"/>
          </w:rPr>
          <w:t>2021/2.115</w:t>
        </w:r>
      </w:hyperlink>
      <w:r w:rsidRPr="00CC2E4A">
        <w:rPr>
          <w:rFonts w:ascii="Verdana" w:eastAsia="Times New Roman" w:hAnsi="Verdana" w:cs="Times New Roman"/>
          <w:lang w:val="en-US"/>
        </w:rPr>
        <w:t xml:space="preserve"> al Parlamentului European şi al Consiliului din 2 decembrie 2021 de stabilire a normelor privind sprijinul pentru planurile strategice care urmează a fi elaborate de statele membre în cadrul politicii agricole comune (planurile strategice PAC) şi finanţate de Fondul european de garantare agricolă (FEGA) şi de Fondul european agricol pentru dezvoltare rurală (FEADR) şi de abrogare a Regulamentelor (UE) nr. </w:t>
      </w:r>
      <w:hyperlink r:id="rId8" w:history="1">
        <w:r w:rsidRPr="00CC2E4A">
          <w:rPr>
            <w:rFonts w:ascii="Verdana" w:eastAsia="Times New Roman" w:hAnsi="Verdana" w:cs="Times New Roman"/>
            <w:b/>
            <w:bCs/>
            <w:color w:val="333399"/>
            <w:u w:val="single"/>
            <w:lang w:val="en-US"/>
          </w:rPr>
          <w:t>1.305/2013</w:t>
        </w:r>
      </w:hyperlink>
      <w:r w:rsidRPr="00CC2E4A">
        <w:rPr>
          <w:rFonts w:ascii="Verdana" w:eastAsia="Times New Roman" w:hAnsi="Verdana" w:cs="Times New Roman"/>
          <w:lang w:val="en-US"/>
        </w:rPr>
        <w:t xml:space="preserve"> şi (UE) nr. </w:t>
      </w:r>
      <w:hyperlink r:id="rId9" w:tooltip="ABROGATA - de stabilire a unor norme privind plăţile directe acordate fermierilor prin scheme de sprijin în cadrul politicii agricole comune şi de abrogare a Regulamentului (CE) nr. 637/2008 al Consiliului şi a Regulamentului (CE) nr. 73/2009 al Consiliului (act publicat in Jurnalul Oficial 347L)" w:history="1">
        <w:r w:rsidRPr="00CC2E4A">
          <w:rPr>
            <w:rFonts w:ascii="Verdana" w:eastAsia="Times New Roman" w:hAnsi="Verdana" w:cs="Times New Roman"/>
            <w:b/>
            <w:bCs/>
            <w:color w:val="333399"/>
            <w:u w:val="single"/>
            <w:lang w:val="en-US"/>
          </w:rPr>
          <w:t>1.307/2013</w:t>
        </w:r>
      </w:hyperlink>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 w:name="do|pa4"/>
      <w:bookmarkEnd w:id="4"/>
      <w:r w:rsidRPr="00CC2E4A">
        <w:rPr>
          <w:rFonts w:ascii="Verdana" w:eastAsia="Times New Roman" w:hAnsi="Verdana" w:cs="Times New Roman"/>
          <w:lang w:val="en-US"/>
        </w:rPr>
        <w:t xml:space="preserve">- Regulamentului (UE) </w:t>
      </w:r>
      <w:hyperlink r:id="rId10" w:history="1">
        <w:r w:rsidRPr="00CC2E4A">
          <w:rPr>
            <w:rFonts w:ascii="Verdana" w:eastAsia="Times New Roman" w:hAnsi="Verdana" w:cs="Times New Roman"/>
            <w:b/>
            <w:bCs/>
            <w:color w:val="333399"/>
            <w:u w:val="single"/>
            <w:lang w:val="en-US"/>
          </w:rPr>
          <w:t>2020/2.220</w:t>
        </w:r>
      </w:hyperlink>
      <w:r w:rsidRPr="00CC2E4A">
        <w:rPr>
          <w:rFonts w:ascii="Verdana" w:eastAsia="Times New Roman" w:hAnsi="Verdana" w:cs="Times New Roman"/>
          <w:lang w:val="en-US"/>
        </w:rPr>
        <w:t xml:space="preserve"> al Parlamentului European şi al Consiliului din 23 decembrie 2020 de stabilire a anumitor dispoziţii tranzitorii privind sprijinul acordat din Fondul european agricol pentru dezvoltare rurală (FEADR) şi din Fondul european de garantare agricolă (FEGA) în anii 2021 şi 2022 şi de modificare a Regulamentelor (UE) nr. </w:t>
      </w:r>
      <w:hyperlink r:id="rId11" w:history="1">
        <w:r w:rsidRPr="00CC2E4A">
          <w:rPr>
            <w:rFonts w:ascii="Verdana" w:eastAsia="Times New Roman" w:hAnsi="Verdana" w:cs="Times New Roman"/>
            <w:b/>
            <w:bCs/>
            <w:color w:val="333399"/>
            <w:u w:val="single"/>
            <w:lang w:val="en-US"/>
          </w:rPr>
          <w:t>1.305/2013</w:t>
        </w:r>
      </w:hyperlink>
      <w:r w:rsidRPr="00CC2E4A">
        <w:rPr>
          <w:rFonts w:ascii="Verdana" w:eastAsia="Times New Roman" w:hAnsi="Verdana" w:cs="Times New Roman"/>
          <w:lang w:val="en-US"/>
        </w:rPr>
        <w:t xml:space="preserve">, (UE) nr. </w:t>
      </w:r>
      <w:hyperlink r:id="rId12" w:tooltip="ABROGATA - privind finanţarea, gestionarea şi monitorizarea politicii agricole comune şi de abrogare a Regulamentelor (CEE) nr. 352/78, (CE) nr. 165/94, (CE) nr. 2799/98, (CE) nr. 814/2000, (CE) nr. 1290/2005 şi (CE) nr. 485/2008 ale Consiliului (act publicat in Jurnalul Oficial 347L)" w:history="1">
        <w:r w:rsidRPr="00CC2E4A">
          <w:rPr>
            <w:rFonts w:ascii="Verdana" w:eastAsia="Times New Roman" w:hAnsi="Verdana" w:cs="Times New Roman"/>
            <w:b/>
            <w:bCs/>
            <w:color w:val="333399"/>
            <w:u w:val="single"/>
            <w:lang w:val="en-US"/>
          </w:rPr>
          <w:t>1.306/2013</w:t>
        </w:r>
      </w:hyperlink>
      <w:r w:rsidRPr="00CC2E4A">
        <w:rPr>
          <w:rFonts w:ascii="Verdana" w:eastAsia="Times New Roman" w:hAnsi="Verdana" w:cs="Times New Roman"/>
          <w:lang w:val="en-US"/>
        </w:rPr>
        <w:t xml:space="preserve"> şi (UE) nr. </w:t>
      </w:r>
      <w:hyperlink r:id="rId13" w:history="1">
        <w:r w:rsidRPr="00CC2E4A">
          <w:rPr>
            <w:rFonts w:ascii="Verdana" w:eastAsia="Times New Roman" w:hAnsi="Verdana" w:cs="Times New Roman"/>
            <w:b/>
            <w:bCs/>
            <w:color w:val="333399"/>
            <w:u w:val="single"/>
            <w:lang w:val="en-US"/>
          </w:rPr>
          <w:t>1.307/2013</w:t>
        </w:r>
      </w:hyperlink>
      <w:r w:rsidRPr="00CC2E4A">
        <w:rPr>
          <w:rFonts w:ascii="Verdana" w:eastAsia="Times New Roman" w:hAnsi="Verdana" w:cs="Times New Roman"/>
          <w:lang w:val="en-US"/>
        </w:rPr>
        <w:t xml:space="preserve"> în ceea ce priveşte resursele şi aplicarea regulamentelor respective în anii 2021 şi 2022 şi a Regulamentului (UE) nr. </w:t>
      </w:r>
      <w:hyperlink r:id="rId14" w:history="1">
        <w:r w:rsidRPr="00CC2E4A">
          <w:rPr>
            <w:rFonts w:ascii="Verdana" w:eastAsia="Times New Roman" w:hAnsi="Verdana" w:cs="Times New Roman"/>
            <w:b/>
            <w:bCs/>
            <w:color w:val="333399"/>
            <w:u w:val="single"/>
            <w:lang w:val="en-US"/>
          </w:rPr>
          <w:t>1.308/2013</w:t>
        </w:r>
      </w:hyperlink>
      <w:r w:rsidRPr="00CC2E4A">
        <w:rPr>
          <w:rFonts w:ascii="Verdana" w:eastAsia="Times New Roman" w:hAnsi="Verdana" w:cs="Times New Roman"/>
          <w:lang w:val="en-US"/>
        </w:rPr>
        <w:t xml:space="preserve"> în ceea ce priveşte resursele şi repartizarea unui astfel de sprijin pentru anii 2021 şi 2022, cu modificările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 w:name="do|pa5"/>
      <w:bookmarkEnd w:id="5"/>
      <w:r w:rsidRPr="00CC2E4A">
        <w:rPr>
          <w:rFonts w:ascii="Verdana" w:eastAsia="Times New Roman" w:hAnsi="Verdana" w:cs="Times New Roman"/>
          <w:lang w:val="en-US"/>
        </w:rPr>
        <w:t xml:space="preserve">- Regulamentului (UE) </w:t>
      </w:r>
      <w:hyperlink r:id="rId15" w:history="1">
        <w:r w:rsidRPr="00CC2E4A">
          <w:rPr>
            <w:rFonts w:ascii="Verdana" w:eastAsia="Times New Roman" w:hAnsi="Verdana" w:cs="Times New Roman"/>
            <w:b/>
            <w:bCs/>
            <w:color w:val="333399"/>
            <w:u w:val="single"/>
            <w:lang w:val="en-US"/>
          </w:rPr>
          <w:t>2020/2.094</w:t>
        </w:r>
      </w:hyperlink>
      <w:r w:rsidRPr="00CC2E4A">
        <w:rPr>
          <w:rFonts w:ascii="Verdana" w:eastAsia="Times New Roman" w:hAnsi="Verdana" w:cs="Times New Roman"/>
          <w:lang w:val="en-US"/>
        </w:rPr>
        <w:t xml:space="preserve"> al Consiliului din 14 decembrie 2020 de instituire a unui instrument de redresare al Uniunii Europene pentru a sprijini redresarea în urma crizei provocate de COVID-19;</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6" w:name="do|pa6"/>
      <w:bookmarkEnd w:id="6"/>
      <w:r w:rsidRPr="00CC2E4A">
        <w:rPr>
          <w:rFonts w:ascii="Verdana" w:eastAsia="Times New Roman" w:hAnsi="Verdana" w:cs="Times New Roman"/>
          <w:lang w:val="en-US"/>
        </w:rPr>
        <w:t xml:space="preserve">- Regulamentului (UE) nr. </w:t>
      </w:r>
      <w:hyperlink r:id="rId16" w:history="1">
        <w:r w:rsidRPr="00CC2E4A">
          <w:rPr>
            <w:rFonts w:ascii="Verdana" w:eastAsia="Times New Roman" w:hAnsi="Verdana" w:cs="Times New Roman"/>
            <w:b/>
            <w:bCs/>
            <w:color w:val="333399"/>
            <w:u w:val="single"/>
            <w:lang w:val="en-US"/>
          </w:rPr>
          <w:t>1.407/2013</w:t>
        </w:r>
      </w:hyperlink>
      <w:r w:rsidRPr="00CC2E4A">
        <w:rPr>
          <w:rFonts w:ascii="Verdana" w:eastAsia="Times New Roman" w:hAnsi="Verdana" w:cs="Times New Roman"/>
          <w:lang w:val="en-US"/>
        </w:rPr>
        <w:t xml:space="preserve"> al Comisiei din 18 decembrie 2013 privind aplicarea articolelor 107 şi 108 din </w:t>
      </w:r>
      <w:hyperlink r:id="rId17" w:history="1">
        <w:r w:rsidRPr="00CC2E4A">
          <w:rPr>
            <w:rFonts w:ascii="Verdana" w:eastAsia="Times New Roman" w:hAnsi="Verdana" w:cs="Times New Roman"/>
            <w:b/>
            <w:bCs/>
            <w:color w:val="333399"/>
            <w:u w:val="single"/>
            <w:lang w:val="en-US"/>
          </w:rPr>
          <w:t>Tratatul privind funcţionarea Uniunii Europene</w:t>
        </w:r>
      </w:hyperlink>
      <w:r w:rsidRPr="00CC2E4A">
        <w:rPr>
          <w:rFonts w:ascii="Verdana" w:eastAsia="Times New Roman" w:hAnsi="Verdana" w:cs="Times New Roman"/>
          <w:lang w:val="en-US"/>
        </w:rPr>
        <w:t xml:space="preserve"> ajutoarelor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7" w:name="do|pa7"/>
      <w:bookmarkEnd w:id="7"/>
      <w:r w:rsidRPr="00CC2E4A">
        <w:rPr>
          <w:rFonts w:ascii="Verdana" w:eastAsia="Times New Roman" w:hAnsi="Verdana" w:cs="Times New Roman"/>
          <w:lang w:val="en-US"/>
        </w:rPr>
        <w:t xml:space="preserve">- Regulamentului (UE) nr. </w:t>
      </w:r>
      <w:hyperlink r:id="rId18" w:history="1">
        <w:r w:rsidRPr="00CC2E4A">
          <w:rPr>
            <w:rFonts w:ascii="Verdana" w:eastAsia="Times New Roman" w:hAnsi="Verdana" w:cs="Times New Roman"/>
            <w:b/>
            <w:bCs/>
            <w:color w:val="333399"/>
            <w:u w:val="single"/>
            <w:lang w:val="en-US"/>
          </w:rPr>
          <w:t>1.305/2013</w:t>
        </w:r>
      </w:hyperlink>
      <w:r w:rsidRPr="00CC2E4A">
        <w:rPr>
          <w:rFonts w:ascii="Verdana" w:eastAsia="Times New Roman" w:hAnsi="Verdana" w:cs="Times New Roman"/>
          <w:lang w:val="en-US"/>
        </w:rPr>
        <w:t xml:space="preserve"> al Parlamentului European şi al Consiliului din 17 decembrie 2013 privind sprijinul pentru dezvoltare rurală acordat din Fondul european agricol pentru dezvoltare rurală (FEADR) şi de abrogare a Regulamentului (CE) nr. </w:t>
      </w:r>
      <w:hyperlink r:id="rId19" w:history="1">
        <w:r w:rsidRPr="00CC2E4A">
          <w:rPr>
            <w:rFonts w:ascii="Verdana" w:eastAsia="Times New Roman" w:hAnsi="Verdana" w:cs="Times New Roman"/>
            <w:b/>
            <w:bCs/>
            <w:color w:val="333399"/>
            <w:u w:val="single"/>
            <w:lang w:val="en-US"/>
          </w:rPr>
          <w:t>1.698/2005</w:t>
        </w:r>
      </w:hyperlink>
      <w:r w:rsidRPr="00CC2E4A">
        <w:rPr>
          <w:rFonts w:ascii="Verdana" w:eastAsia="Times New Roman" w:hAnsi="Verdana" w:cs="Times New Roman"/>
          <w:lang w:val="en-US"/>
        </w:rPr>
        <w:t xml:space="preserve"> al Consiliului,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8" w:name="do|pa8"/>
      <w:bookmarkEnd w:id="8"/>
      <w:r w:rsidRPr="00CC2E4A">
        <w:rPr>
          <w:rFonts w:ascii="Verdana" w:eastAsia="Times New Roman" w:hAnsi="Verdana" w:cs="Times New Roman"/>
          <w:lang w:val="en-US"/>
        </w:rPr>
        <w:t xml:space="preserve">- Regulamentului (UE) nr. </w:t>
      </w:r>
      <w:hyperlink r:id="rId20" w:history="1">
        <w:r w:rsidRPr="00CC2E4A">
          <w:rPr>
            <w:rFonts w:ascii="Verdana" w:eastAsia="Times New Roman" w:hAnsi="Verdana" w:cs="Times New Roman"/>
            <w:b/>
            <w:bCs/>
            <w:color w:val="333399"/>
            <w:u w:val="single"/>
            <w:lang w:val="en-US"/>
          </w:rPr>
          <w:t>1.303/2013</w:t>
        </w:r>
      </w:hyperlink>
      <w:r w:rsidRPr="00CC2E4A">
        <w:rPr>
          <w:rFonts w:ascii="Verdana" w:eastAsia="Times New Roman" w:hAnsi="Verdana" w:cs="Times New Roman"/>
          <w:lang w:val="en-US"/>
        </w:rPr>
        <w:t xml:space="preserve"> al Parlamentului European şi Consiliului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w:t>
      </w:r>
      <w:hyperlink r:id="rId21" w:history="1">
        <w:r w:rsidRPr="00CC2E4A">
          <w:rPr>
            <w:rFonts w:ascii="Verdana" w:eastAsia="Times New Roman" w:hAnsi="Verdana" w:cs="Times New Roman"/>
            <w:b/>
            <w:bCs/>
            <w:color w:val="333399"/>
            <w:u w:val="single"/>
            <w:lang w:val="en-US"/>
          </w:rPr>
          <w:t>1.083/2006</w:t>
        </w:r>
      </w:hyperlink>
      <w:r w:rsidRPr="00CC2E4A">
        <w:rPr>
          <w:rFonts w:ascii="Verdana" w:eastAsia="Times New Roman" w:hAnsi="Verdana" w:cs="Times New Roman"/>
          <w:lang w:val="en-US"/>
        </w:rPr>
        <w:t xml:space="preserve"> al Consiliului,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9" w:name="do|pa9"/>
      <w:bookmarkEnd w:id="9"/>
      <w:r w:rsidRPr="00CC2E4A">
        <w:rPr>
          <w:rFonts w:ascii="Verdana" w:eastAsia="Times New Roman" w:hAnsi="Verdana" w:cs="Times New Roman"/>
          <w:lang w:val="en-US"/>
        </w:rPr>
        <w:lastRenderedPageBreak/>
        <w:t>- Programului Naţional de Dezvoltare Rurală, aprobat prin Decizia de punere în aplicare a Comisiei Europene C (2015) 3.508 din 26 mai 2015,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0" w:name="do|pa10"/>
      <w:bookmarkEnd w:id="10"/>
      <w:r w:rsidRPr="00CC2E4A">
        <w:rPr>
          <w:rFonts w:ascii="Verdana" w:eastAsia="Times New Roman" w:hAnsi="Verdana" w:cs="Times New Roman"/>
          <w:lang w:val="en-US"/>
        </w:rPr>
        <w:t xml:space="preserve">- Ordonanţei de urgenţă a Guvernului nr. </w:t>
      </w:r>
      <w:hyperlink r:id="rId22" w:history="1">
        <w:r w:rsidRPr="00CC2E4A">
          <w:rPr>
            <w:rFonts w:ascii="Verdana" w:eastAsia="Times New Roman" w:hAnsi="Verdana" w:cs="Times New Roman"/>
            <w:b/>
            <w:bCs/>
            <w:color w:val="333399"/>
            <w:u w:val="single"/>
            <w:lang w:val="en-US"/>
          </w:rPr>
          <w:t>77/2014</w:t>
        </w:r>
      </w:hyperlink>
      <w:r w:rsidRPr="00CC2E4A">
        <w:rPr>
          <w:rFonts w:ascii="Verdana" w:eastAsia="Times New Roman" w:hAnsi="Verdana" w:cs="Times New Roman"/>
          <w:lang w:val="en-US"/>
        </w:rPr>
        <w:t xml:space="preserve"> privind procedurile naţionale în domeniul ajutorului de stat, precum şi pentru modificarea şi completarea Legii concurenţei nr. </w:t>
      </w:r>
      <w:hyperlink r:id="rId23" w:history="1">
        <w:r w:rsidRPr="00CC2E4A">
          <w:rPr>
            <w:rFonts w:ascii="Verdana" w:eastAsia="Times New Roman" w:hAnsi="Verdana" w:cs="Times New Roman"/>
            <w:b/>
            <w:bCs/>
            <w:color w:val="333399"/>
            <w:u w:val="single"/>
            <w:lang w:val="en-US"/>
          </w:rPr>
          <w:t>21/1996</w:t>
        </w:r>
      </w:hyperlink>
      <w:r w:rsidRPr="00CC2E4A">
        <w:rPr>
          <w:rFonts w:ascii="Verdana" w:eastAsia="Times New Roman" w:hAnsi="Verdana" w:cs="Times New Roman"/>
          <w:lang w:val="en-US"/>
        </w:rPr>
        <w:t xml:space="preserve">, aprobată cu modificări şi completări prin Legea nr. </w:t>
      </w:r>
      <w:hyperlink r:id="rId24" w:history="1">
        <w:r w:rsidRPr="00CC2E4A">
          <w:rPr>
            <w:rFonts w:ascii="Verdana" w:eastAsia="Times New Roman" w:hAnsi="Verdana" w:cs="Times New Roman"/>
            <w:b/>
            <w:bCs/>
            <w:color w:val="333399"/>
            <w:u w:val="single"/>
            <w:lang w:val="en-US"/>
          </w:rPr>
          <w:t>20/2015</w:t>
        </w:r>
      </w:hyperlink>
      <w:r w:rsidRPr="00CC2E4A">
        <w:rPr>
          <w:rFonts w:ascii="Verdana" w:eastAsia="Times New Roman" w:hAnsi="Verdana" w:cs="Times New Roman"/>
          <w:lang w:val="en-US"/>
        </w:rPr>
        <w:t>,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1" w:name="do|pa11"/>
      <w:bookmarkEnd w:id="11"/>
      <w:r w:rsidRPr="00CC2E4A">
        <w:rPr>
          <w:rFonts w:ascii="Verdana" w:eastAsia="Times New Roman" w:hAnsi="Verdana" w:cs="Times New Roman"/>
          <w:lang w:val="en-US"/>
        </w:rPr>
        <w:t xml:space="preserve">- Hotărârii Guvernului nr. </w:t>
      </w:r>
      <w:hyperlink r:id="rId25" w:history="1">
        <w:r w:rsidRPr="00CC2E4A">
          <w:rPr>
            <w:rFonts w:ascii="Verdana" w:eastAsia="Times New Roman" w:hAnsi="Verdana" w:cs="Times New Roman"/>
            <w:b/>
            <w:bCs/>
            <w:color w:val="333399"/>
            <w:u w:val="single"/>
            <w:lang w:val="en-US"/>
          </w:rPr>
          <w:t>226/2015</w:t>
        </w:r>
      </w:hyperlink>
      <w:r w:rsidRPr="00CC2E4A">
        <w:rPr>
          <w:rFonts w:ascii="Verdana" w:eastAsia="Times New Roman" w:hAnsi="Verdana" w:cs="Times New Roman"/>
          <w:lang w:val="en-US"/>
        </w:rPr>
        <w:t xml:space="preserve"> privind stabilirea cadrului general de implementare a măsurilor programului naţional de dezvoltare rurală cofinanţate din Fondul European Agricol pentru Dezvoltare Rurală şi de la bugetul de stat,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2" w:name="do|pa12"/>
      <w:bookmarkEnd w:id="12"/>
      <w:r w:rsidRPr="00CC2E4A">
        <w:rPr>
          <w:rFonts w:ascii="Verdana" w:eastAsia="Times New Roman" w:hAnsi="Verdana" w:cs="Times New Roman"/>
          <w:lang w:val="en-US"/>
        </w:rPr>
        <w:t>în temeiul prevederilor:</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3" w:name="do|pa13"/>
      <w:bookmarkEnd w:id="13"/>
      <w:r w:rsidRPr="00CC2E4A">
        <w:rPr>
          <w:rFonts w:ascii="Verdana" w:eastAsia="Times New Roman" w:hAnsi="Verdana" w:cs="Times New Roman"/>
          <w:lang w:val="en-US"/>
        </w:rPr>
        <w:t xml:space="preserve">- art. 57 alin. (1) din Ordonanţa de urgenţă a Guvernului nr. </w:t>
      </w:r>
      <w:hyperlink r:id="rId26" w:history="1">
        <w:r w:rsidRPr="00CC2E4A">
          <w:rPr>
            <w:rFonts w:ascii="Verdana" w:eastAsia="Times New Roman" w:hAnsi="Verdana" w:cs="Times New Roman"/>
            <w:b/>
            <w:bCs/>
            <w:color w:val="333399"/>
            <w:u w:val="single"/>
            <w:lang w:val="en-US"/>
          </w:rPr>
          <w:t>57/2019</w:t>
        </w:r>
      </w:hyperlink>
      <w:r w:rsidRPr="00CC2E4A">
        <w:rPr>
          <w:rFonts w:ascii="Verdana" w:eastAsia="Times New Roman" w:hAnsi="Verdana" w:cs="Times New Roman"/>
          <w:lang w:val="en-US"/>
        </w:rPr>
        <w:t xml:space="preserve"> privind Codul administrativ,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4" w:name="do|pa14"/>
      <w:bookmarkEnd w:id="14"/>
      <w:r w:rsidRPr="00CC2E4A">
        <w:rPr>
          <w:rFonts w:ascii="Verdana" w:eastAsia="Times New Roman" w:hAnsi="Verdana" w:cs="Times New Roman"/>
          <w:lang w:val="en-US"/>
        </w:rPr>
        <w:t xml:space="preserve">- art. 9 alin. (5) şi (6) din Hotărârea Guvernului nr. </w:t>
      </w:r>
      <w:hyperlink r:id="rId27" w:history="1">
        <w:r w:rsidRPr="00CC2E4A">
          <w:rPr>
            <w:rFonts w:ascii="Verdana" w:eastAsia="Times New Roman" w:hAnsi="Verdana" w:cs="Times New Roman"/>
            <w:b/>
            <w:bCs/>
            <w:color w:val="333399"/>
            <w:u w:val="single"/>
            <w:lang w:val="en-US"/>
          </w:rPr>
          <w:t>30/2017</w:t>
        </w:r>
      </w:hyperlink>
      <w:r w:rsidRPr="00CC2E4A">
        <w:rPr>
          <w:rFonts w:ascii="Verdana" w:eastAsia="Times New Roman" w:hAnsi="Verdana" w:cs="Times New Roman"/>
          <w:lang w:val="en-US"/>
        </w:rPr>
        <w:t xml:space="preserve"> privind organizarea şi funcţionarea Ministerului Agriculturii şi Dezvoltării Rurale, precum şi pentru modificarea art. 6 alin. (6) din Hotărârea Guvernului nr. </w:t>
      </w:r>
      <w:hyperlink r:id="rId28" w:history="1">
        <w:r w:rsidRPr="00CC2E4A">
          <w:rPr>
            <w:rFonts w:ascii="Verdana" w:eastAsia="Times New Roman" w:hAnsi="Verdana" w:cs="Times New Roman"/>
            <w:b/>
            <w:bCs/>
            <w:color w:val="333399"/>
            <w:u w:val="single"/>
            <w:lang w:val="en-US"/>
          </w:rPr>
          <w:t>1.186/2014</w:t>
        </w:r>
      </w:hyperlink>
      <w:r w:rsidRPr="00CC2E4A">
        <w:rPr>
          <w:rFonts w:ascii="Verdana" w:eastAsia="Times New Roman" w:hAnsi="Verdana" w:cs="Times New Roman"/>
          <w:lang w:val="en-US"/>
        </w:rPr>
        <w:t xml:space="preserve"> privind organizarea şi funcţionarea Autorităţii pentru Administrarea Sistemului Naţional Antigrindină şi de Creştere a Precipitaţiilor,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5" w:name="do|pa15"/>
      <w:bookmarkEnd w:id="15"/>
      <w:r w:rsidRPr="00CC2E4A">
        <w:rPr>
          <w:rFonts w:ascii="Verdana" w:eastAsia="Times New Roman" w:hAnsi="Verdana" w:cs="Times New Roman"/>
          <w:b/>
          <w:bCs/>
          <w:lang w:val="en-US"/>
        </w:rPr>
        <w:t>ministrul agriculturii şi dezvoltării rurale</w:t>
      </w:r>
      <w:r w:rsidRPr="00CC2E4A">
        <w:rPr>
          <w:rFonts w:ascii="Verdana" w:eastAsia="Times New Roman" w:hAnsi="Verdana" w:cs="Times New Roman"/>
          <w:lang w:val="en-US"/>
        </w:rPr>
        <w:t xml:space="preserve"> emite prezentul ordin.</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6" w:name="do|arI"/>
      <w:r w:rsidRPr="00CC2E4A">
        <w:rPr>
          <w:rFonts w:ascii="Verdana" w:eastAsia="Times New Roman" w:hAnsi="Verdana" w:cs="Times New Roman"/>
          <w:b/>
          <w:bCs/>
          <w:noProof/>
          <w:color w:val="333399"/>
          <w:lang w:val="en-US"/>
        </w:rPr>
        <w:drawing>
          <wp:inline distT="0" distB="0" distL="0" distR="0">
            <wp:extent cx="95250" cy="95250"/>
            <wp:effectExtent l="0" t="0" r="0" b="0"/>
            <wp:docPr id="14" name="Picture 14"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CC2E4A">
        <w:rPr>
          <w:rFonts w:ascii="Verdana" w:eastAsia="Times New Roman" w:hAnsi="Verdana" w:cs="Times New Roman"/>
          <w:b/>
          <w:bCs/>
          <w:color w:val="0000AF"/>
          <w:lang w:val="en-US"/>
        </w:rPr>
        <w:t>Art. 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7" w:name="do|arI|pa1"/>
      <w:bookmarkEnd w:id="17"/>
      <w:r w:rsidRPr="00CC2E4A">
        <w:rPr>
          <w:rFonts w:ascii="Verdana" w:eastAsia="Times New Roman" w:hAnsi="Verdana" w:cs="Times New Roman"/>
          <w:lang w:val="en-US"/>
        </w:rPr>
        <w:t xml:space="preserve">- Anexa la Ordinul ministrului agriculturii şi dezvoltării rurale nr. </w:t>
      </w:r>
      <w:hyperlink r:id="rId29" w:history="1">
        <w:r w:rsidRPr="00CC2E4A">
          <w:rPr>
            <w:rFonts w:ascii="Verdana" w:eastAsia="Times New Roman" w:hAnsi="Verdana" w:cs="Times New Roman"/>
            <w:b/>
            <w:bCs/>
            <w:color w:val="333399"/>
            <w:u w:val="single"/>
            <w:lang w:val="en-US"/>
          </w:rPr>
          <w:t>107/2017</w:t>
        </w:r>
      </w:hyperlink>
      <w:r w:rsidRPr="00CC2E4A">
        <w:rPr>
          <w:rFonts w:ascii="Verdana" w:eastAsia="Times New Roman" w:hAnsi="Verdana" w:cs="Times New Roman"/>
          <w:lang w:val="en-US"/>
        </w:rPr>
        <w:t xml:space="preserve"> privind aprobarea schemei de ajutor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"Sprijin pentru implementarea acţiunilor în cadrul strategiei de dezvoltare locală", publicat în Monitorul Oficial al României, Partea I, nr. 311 din 2 mai 2017, cu modificările ulterioare, se modifică şi se completează după cum urmează:</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8" w:name="do|arI|pt1"/>
      <w:r w:rsidRPr="00CC2E4A">
        <w:rPr>
          <w:rFonts w:ascii="Verdana" w:eastAsia="Times New Roman" w:hAnsi="Verdana" w:cs="Times New Roman"/>
          <w:b/>
          <w:bCs/>
          <w:noProof/>
          <w:color w:val="333399"/>
          <w:lang w:val="en-US"/>
        </w:rPr>
        <w:drawing>
          <wp:inline distT="0" distB="0" distL="0" distR="0">
            <wp:extent cx="95250" cy="95250"/>
            <wp:effectExtent l="0" t="0" r="0" b="0"/>
            <wp:docPr id="13" name="Picture 13"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CC2E4A">
        <w:rPr>
          <w:rFonts w:ascii="Verdana" w:eastAsia="Times New Roman" w:hAnsi="Verdana" w:cs="Times New Roman"/>
          <w:b/>
          <w:bCs/>
          <w:color w:val="8F0000"/>
          <w:lang w:val="en-US"/>
        </w:rPr>
        <w:t>1.</w:t>
      </w:r>
      <w:r w:rsidRPr="00CC2E4A">
        <w:rPr>
          <w:rFonts w:ascii="Verdana" w:eastAsia="Times New Roman" w:hAnsi="Verdana" w:cs="Times New Roman"/>
          <w:lang w:val="en-US"/>
        </w:rPr>
        <w:t>La articolul 9 alineatul (1), litera e)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19" w:name="do|arI|pt1|pa1"/>
      <w:bookmarkEnd w:id="19"/>
      <w:r w:rsidRPr="00CC2E4A">
        <w:rPr>
          <w:rFonts w:ascii="Verdana" w:eastAsia="Times New Roman" w:hAnsi="Verdana" w:cs="Times New Roman"/>
          <w:lang w:val="en-US"/>
        </w:rPr>
        <w:t xml:space="preserve">"e) </w:t>
      </w:r>
      <w:r w:rsidRPr="00CC2E4A">
        <w:rPr>
          <w:rFonts w:ascii="Verdana" w:eastAsia="Times New Roman" w:hAnsi="Verdana" w:cs="Times New Roman"/>
          <w:i/>
          <w:iCs/>
          <w:lang w:val="en-US"/>
        </w:rPr>
        <w:t>ajutor</w:t>
      </w:r>
      <w:r w:rsidRPr="00CC2E4A">
        <w:rPr>
          <w:rFonts w:ascii="Verdana" w:eastAsia="Times New Roman" w:hAnsi="Verdana" w:cs="Times New Roman"/>
          <w:lang w:val="en-US"/>
        </w:rPr>
        <w:t xml:space="preserve"> de minimis - ajutor limitat conform normelor Uniunii Europene la un nivel care nu distorsionează concurenţa şi/sau comerţul cu statele membre, respectiv 200.000 euro per întreprindere unică, ajutoare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primite în ultimii 2 ani fiscali anteriori şi în anul fiscal în curs, cu excepţia întreprinderilor care efectuează transport rutier de mărfuri în numele unor terţi sau contra cost pentru care se aplică un plafon de 100.000 euro;"</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0" w:name="do|arI|pt2"/>
      <w:r w:rsidRPr="00CC2E4A">
        <w:rPr>
          <w:rFonts w:ascii="Verdana" w:eastAsia="Times New Roman" w:hAnsi="Verdana" w:cs="Times New Roman"/>
          <w:b/>
          <w:bCs/>
          <w:noProof/>
          <w:color w:val="333399"/>
          <w:lang w:val="en-US"/>
        </w:rPr>
        <w:drawing>
          <wp:inline distT="0" distB="0" distL="0" distR="0">
            <wp:extent cx="95250" cy="95250"/>
            <wp:effectExtent l="0" t="0" r="0" b="0"/>
            <wp:docPr id="12" name="Picture 12"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CC2E4A">
        <w:rPr>
          <w:rFonts w:ascii="Verdana" w:eastAsia="Times New Roman" w:hAnsi="Verdana" w:cs="Times New Roman"/>
          <w:b/>
          <w:bCs/>
          <w:color w:val="8F0000"/>
          <w:lang w:val="en-US"/>
        </w:rPr>
        <w:t>2.</w:t>
      </w:r>
      <w:r w:rsidRPr="00CC2E4A">
        <w:rPr>
          <w:rFonts w:ascii="Verdana" w:eastAsia="Times New Roman" w:hAnsi="Verdana" w:cs="Times New Roman"/>
          <w:lang w:val="en-US"/>
        </w:rPr>
        <w:t>La articolul 9 alineatul (1), după litera s) se introduce o nouă literă, lit. ş), cu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1" w:name="do|arI|pt2|pa1"/>
      <w:bookmarkEnd w:id="21"/>
      <w:r w:rsidRPr="00CC2E4A">
        <w:rPr>
          <w:rFonts w:ascii="Verdana" w:eastAsia="Times New Roman" w:hAnsi="Verdana" w:cs="Times New Roman"/>
          <w:lang w:val="en-US"/>
        </w:rPr>
        <w:t xml:space="preserve">"ş) </w:t>
      </w:r>
      <w:r w:rsidRPr="00CC2E4A">
        <w:rPr>
          <w:rFonts w:ascii="Verdana" w:eastAsia="Times New Roman" w:hAnsi="Verdana" w:cs="Times New Roman"/>
          <w:i/>
          <w:iCs/>
          <w:lang w:val="en-US"/>
        </w:rPr>
        <w:t>EURI</w:t>
      </w:r>
      <w:r w:rsidRPr="00CC2E4A">
        <w:rPr>
          <w:rFonts w:ascii="Verdana" w:eastAsia="Times New Roman" w:hAnsi="Verdana" w:cs="Times New Roman"/>
          <w:lang w:val="en-US"/>
        </w:rPr>
        <w:t xml:space="preserve"> - Instrumentul de redresare al Uniunii Europene, conform Regulamentului (UE) </w:t>
      </w:r>
      <w:hyperlink r:id="rId30" w:history="1">
        <w:r w:rsidRPr="00CC2E4A">
          <w:rPr>
            <w:rFonts w:ascii="Verdana" w:eastAsia="Times New Roman" w:hAnsi="Verdana" w:cs="Times New Roman"/>
            <w:b/>
            <w:bCs/>
            <w:color w:val="333399"/>
            <w:u w:val="single"/>
            <w:lang w:val="en-US"/>
          </w:rPr>
          <w:t>2020/2.094</w:t>
        </w:r>
      </w:hyperlink>
      <w:r w:rsidRPr="00CC2E4A">
        <w:rPr>
          <w:rFonts w:ascii="Verdana" w:eastAsia="Times New Roman" w:hAnsi="Verdana" w:cs="Times New Roman"/>
          <w:lang w:val="en-US"/>
        </w:rPr>
        <w:t xml:space="preserve"> al Consiliului din 14 decembrie 2020 de instituire a unui instrument de redresare al Uniunii Europene pentru a sprijini redresarea în urma crizei provocate de COVID-19."</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2" w:name="do|arI|pt3"/>
      <w:r w:rsidRPr="00CC2E4A">
        <w:rPr>
          <w:rFonts w:ascii="Verdana" w:eastAsia="Times New Roman" w:hAnsi="Verdana" w:cs="Times New Roman"/>
          <w:b/>
          <w:bCs/>
          <w:noProof/>
          <w:color w:val="333399"/>
          <w:lang w:val="en-US"/>
        </w:rPr>
        <w:drawing>
          <wp:inline distT="0" distB="0" distL="0" distR="0">
            <wp:extent cx="95250" cy="95250"/>
            <wp:effectExtent l="0" t="0" r="0" b="0"/>
            <wp:docPr id="11" name="Picture 11"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CC2E4A">
        <w:rPr>
          <w:rFonts w:ascii="Verdana" w:eastAsia="Times New Roman" w:hAnsi="Verdana" w:cs="Times New Roman"/>
          <w:b/>
          <w:bCs/>
          <w:color w:val="8F0000"/>
          <w:lang w:val="en-US"/>
        </w:rPr>
        <w:t>3.</w:t>
      </w:r>
      <w:r w:rsidRPr="00CC2E4A">
        <w:rPr>
          <w:rFonts w:ascii="Verdana" w:eastAsia="Times New Roman" w:hAnsi="Verdana" w:cs="Times New Roman"/>
          <w:lang w:val="en-US"/>
        </w:rPr>
        <w:t>La articolul 9 alineatul (2), după litera c) se introduc trei noi litere, lit. c</w:t>
      </w:r>
      <w:r w:rsidRPr="00CC2E4A">
        <w:rPr>
          <w:rFonts w:ascii="Verdana" w:eastAsia="Times New Roman" w:hAnsi="Verdana" w:cs="Times New Roman"/>
          <w:vertAlign w:val="superscript"/>
          <w:lang w:val="en-US"/>
        </w:rPr>
        <w:t>1</w:t>
      </w:r>
      <w:r w:rsidRPr="00CC2E4A">
        <w:rPr>
          <w:rFonts w:ascii="Verdana" w:eastAsia="Times New Roman" w:hAnsi="Verdana" w:cs="Times New Roman"/>
          <w:lang w:val="en-US"/>
        </w:rPr>
        <w:t>)-c</w:t>
      </w:r>
      <w:r w:rsidRPr="00CC2E4A">
        <w:rPr>
          <w:rFonts w:ascii="Verdana" w:eastAsia="Times New Roman" w:hAnsi="Verdana" w:cs="Times New Roman"/>
          <w:vertAlign w:val="superscript"/>
          <w:lang w:val="en-US"/>
        </w:rPr>
        <w:t>3</w:t>
      </w:r>
      <w:r w:rsidRPr="00CC2E4A">
        <w:rPr>
          <w:rFonts w:ascii="Verdana" w:eastAsia="Times New Roman" w:hAnsi="Verdana" w:cs="Times New Roman"/>
          <w:lang w:val="en-US"/>
        </w:rPr>
        <w:t>), cu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3" w:name="do|arI|pt3|pa1"/>
      <w:bookmarkEnd w:id="23"/>
      <w:r w:rsidRPr="00CC2E4A">
        <w:rPr>
          <w:rFonts w:ascii="Verdana" w:eastAsia="Times New Roman" w:hAnsi="Verdana" w:cs="Times New Roman"/>
          <w:lang w:val="en-US"/>
        </w:rPr>
        <w:t>"c</w:t>
      </w:r>
      <w:r w:rsidRPr="00CC2E4A">
        <w:rPr>
          <w:rFonts w:ascii="Verdana" w:eastAsia="Times New Roman" w:hAnsi="Verdana" w:cs="Times New Roman"/>
          <w:vertAlign w:val="superscript"/>
          <w:lang w:val="en-US"/>
        </w:rPr>
        <w:t>1</w:t>
      </w:r>
      <w:r w:rsidRPr="00CC2E4A">
        <w:rPr>
          <w:rFonts w:ascii="Verdana" w:eastAsia="Times New Roman" w:hAnsi="Verdana" w:cs="Times New Roman"/>
          <w:lang w:val="en-US"/>
        </w:rPr>
        <w:t xml:space="preserve">) Regulamentul (UE) </w:t>
      </w:r>
      <w:hyperlink r:id="rId31" w:history="1">
        <w:r w:rsidRPr="00CC2E4A">
          <w:rPr>
            <w:rFonts w:ascii="Verdana" w:eastAsia="Times New Roman" w:hAnsi="Verdana" w:cs="Times New Roman"/>
            <w:b/>
            <w:bCs/>
            <w:color w:val="333399"/>
            <w:u w:val="single"/>
            <w:lang w:val="en-US"/>
          </w:rPr>
          <w:t>2020/2.094</w:t>
        </w:r>
      </w:hyperlink>
      <w:r w:rsidRPr="00CC2E4A">
        <w:rPr>
          <w:rFonts w:ascii="Verdana" w:eastAsia="Times New Roman" w:hAnsi="Verdana" w:cs="Times New Roman"/>
          <w:lang w:val="en-US"/>
        </w:rPr>
        <w:t xml:space="preserve"> al Consiliului din 14 decembrie 2020 de instituire a unui instrument de redresare al Uniunii Europene pentru a sprijini redresarea în urma crizei provocate de COVID-19;</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4" w:name="do|arI|pt3|pa2"/>
      <w:bookmarkEnd w:id="24"/>
      <w:r w:rsidRPr="00CC2E4A">
        <w:rPr>
          <w:rFonts w:ascii="Verdana" w:eastAsia="Times New Roman" w:hAnsi="Verdana" w:cs="Times New Roman"/>
          <w:lang w:val="en-US"/>
        </w:rPr>
        <w:t>c</w:t>
      </w:r>
      <w:r w:rsidRPr="00CC2E4A">
        <w:rPr>
          <w:rFonts w:ascii="Verdana" w:eastAsia="Times New Roman" w:hAnsi="Verdana" w:cs="Times New Roman"/>
          <w:vertAlign w:val="superscript"/>
          <w:lang w:val="en-US"/>
        </w:rPr>
        <w:t>2</w:t>
      </w:r>
      <w:r w:rsidRPr="00CC2E4A">
        <w:rPr>
          <w:rFonts w:ascii="Verdana" w:eastAsia="Times New Roman" w:hAnsi="Verdana" w:cs="Times New Roman"/>
          <w:lang w:val="en-US"/>
        </w:rPr>
        <w:t xml:space="preserve">) Regulamentul (UE) </w:t>
      </w:r>
      <w:hyperlink r:id="rId32" w:history="1">
        <w:r w:rsidRPr="00CC2E4A">
          <w:rPr>
            <w:rFonts w:ascii="Verdana" w:eastAsia="Times New Roman" w:hAnsi="Verdana" w:cs="Times New Roman"/>
            <w:b/>
            <w:bCs/>
            <w:color w:val="333399"/>
            <w:u w:val="single"/>
            <w:lang w:val="en-US"/>
          </w:rPr>
          <w:t>2020/2.220</w:t>
        </w:r>
      </w:hyperlink>
      <w:r w:rsidRPr="00CC2E4A">
        <w:rPr>
          <w:rFonts w:ascii="Verdana" w:eastAsia="Times New Roman" w:hAnsi="Verdana" w:cs="Times New Roman"/>
          <w:lang w:val="en-US"/>
        </w:rPr>
        <w:t xml:space="preserve"> al Parlamentului European şi al Consiliului de stabilire a anumitor dispoziţii tranzitorii privind sprijinul acordat din FEADR şi din FEGA în anii 2021 şi 2022 şi de modificare a Regulamentelor (UE) nr. </w:t>
      </w:r>
      <w:hyperlink r:id="rId33" w:history="1">
        <w:r w:rsidRPr="00CC2E4A">
          <w:rPr>
            <w:rFonts w:ascii="Verdana" w:eastAsia="Times New Roman" w:hAnsi="Verdana" w:cs="Times New Roman"/>
            <w:b/>
            <w:bCs/>
            <w:color w:val="333399"/>
            <w:u w:val="single"/>
            <w:lang w:val="en-US"/>
          </w:rPr>
          <w:t>1.305/2013</w:t>
        </w:r>
      </w:hyperlink>
      <w:r w:rsidRPr="00CC2E4A">
        <w:rPr>
          <w:rFonts w:ascii="Verdana" w:eastAsia="Times New Roman" w:hAnsi="Verdana" w:cs="Times New Roman"/>
          <w:lang w:val="en-US"/>
        </w:rPr>
        <w:t xml:space="preserve">, (UE) nr. </w:t>
      </w:r>
      <w:hyperlink r:id="rId34" w:history="1">
        <w:r w:rsidRPr="00CC2E4A">
          <w:rPr>
            <w:rFonts w:ascii="Verdana" w:eastAsia="Times New Roman" w:hAnsi="Verdana" w:cs="Times New Roman"/>
            <w:b/>
            <w:bCs/>
            <w:color w:val="333399"/>
            <w:u w:val="single"/>
            <w:lang w:val="en-US"/>
          </w:rPr>
          <w:t>1.306/2013</w:t>
        </w:r>
      </w:hyperlink>
      <w:r w:rsidRPr="00CC2E4A">
        <w:rPr>
          <w:rFonts w:ascii="Verdana" w:eastAsia="Times New Roman" w:hAnsi="Verdana" w:cs="Times New Roman"/>
          <w:lang w:val="en-US"/>
        </w:rPr>
        <w:t xml:space="preserve"> şi (UE) nr. </w:t>
      </w:r>
      <w:hyperlink r:id="rId35" w:history="1">
        <w:r w:rsidRPr="00CC2E4A">
          <w:rPr>
            <w:rFonts w:ascii="Verdana" w:eastAsia="Times New Roman" w:hAnsi="Verdana" w:cs="Times New Roman"/>
            <w:b/>
            <w:bCs/>
            <w:color w:val="333399"/>
            <w:u w:val="single"/>
            <w:lang w:val="en-US"/>
          </w:rPr>
          <w:t>1.307/2013</w:t>
        </w:r>
      </w:hyperlink>
      <w:r w:rsidRPr="00CC2E4A">
        <w:rPr>
          <w:rFonts w:ascii="Verdana" w:eastAsia="Times New Roman" w:hAnsi="Verdana" w:cs="Times New Roman"/>
          <w:lang w:val="en-US"/>
        </w:rPr>
        <w:t xml:space="preserve"> în ceea ce priveşte resursele şi </w:t>
      </w:r>
      <w:r w:rsidRPr="00CC2E4A">
        <w:rPr>
          <w:rFonts w:ascii="Verdana" w:eastAsia="Times New Roman" w:hAnsi="Verdana" w:cs="Times New Roman"/>
          <w:lang w:val="en-US"/>
        </w:rPr>
        <w:lastRenderedPageBreak/>
        <w:t xml:space="preserve">aplicarea regulamentelor respective în anii 2021 şi 2022 şi a Regulamentului (UE) nr. </w:t>
      </w:r>
      <w:hyperlink r:id="rId36" w:history="1">
        <w:r w:rsidRPr="00CC2E4A">
          <w:rPr>
            <w:rFonts w:ascii="Verdana" w:eastAsia="Times New Roman" w:hAnsi="Verdana" w:cs="Times New Roman"/>
            <w:b/>
            <w:bCs/>
            <w:color w:val="333399"/>
            <w:u w:val="single"/>
            <w:lang w:val="en-US"/>
          </w:rPr>
          <w:t>1.308/2013</w:t>
        </w:r>
      </w:hyperlink>
      <w:r w:rsidRPr="00CC2E4A">
        <w:rPr>
          <w:rFonts w:ascii="Verdana" w:eastAsia="Times New Roman" w:hAnsi="Verdana" w:cs="Times New Roman"/>
          <w:lang w:val="en-US"/>
        </w:rPr>
        <w:t xml:space="preserve"> în ceea ce priveşte resursele şi repartizarea unui astfel de sprijin pentru anii 2021 şi 2022, cu modificările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5" w:name="do|arI|pt3|pa3"/>
      <w:bookmarkEnd w:id="25"/>
      <w:r w:rsidRPr="00CC2E4A">
        <w:rPr>
          <w:rFonts w:ascii="Verdana" w:eastAsia="Times New Roman" w:hAnsi="Verdana" w:cs="Times New Roman"/>
          <w:lang w:val="en-US"/>
        </w:rPr>
        <w:t>c</w:t>
      </w:r>
      <w:r w:rsidRPr="00CC2E4A">
        <w:rPr>
          <w:rFonts w:ascii="Verdana" w:eastAsia="Times New Roman" w:hAnsi="Verdana" w:cs="Times New Roman"/>
          <w:vertAlign w:val="superscript"/>
          <w:lang w:val="en-US"/>
        </w:rPr>
        <w:t>3</w:t>
      </w:r>
      <w:r w:rsidRPr="00CC2E4A">
        <w:rPr>
          <w:rFonts w:ascii="Verdana" w:eastAsia="Times New Roman" w:hAnsi="Verdana" w:cs="Times New Roman"/>
          <w:lang w:val="en-US"/>
        </w:rPr>
        <w:t>) Programul Naţional de Dezvoltare Rurală, aprobat prin Decizia de punere în aplicare a Comisiei Europene C (2015) 3.508 din 26 mai 2015, cu modificările şi completările ulterioare;"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6" w:name="do|arI|pt4"/>
      <w:r w:rsidRPr="00CC2E4A">
        <w:rPr>
          <w:rFonts w:ascii="Verdana" w:eastAsia="Times New Roman" w:hAnsi="Verdana" w:cs="Times New Roman"/>
          <w:b/>
          <w:bCs/>
          <w:noProof/>
          <w:color w:val="333399"/>
          <w:lang w:val="en-US"/>
        </w:rPr>
        <w:drawing>
          <wp:inline distT="0" distB="0" distL="0" distR="0">
            <wp:extent cx="95250" cy="95250"/>
            <wp:effectExtent l="0" t="0" r="0" b="0"/>
            <wp:docPr id="10" name="Picture 10"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CC2E4A">
        <w:rPr>
          <w:rFonts w:ascii="Verdana" w:eastAsia="Times New Roman" w:hAnsi="Verdana" w:cs="Times New Roman"/>
          <w:b/>
          <w:bCs/>
          <w:color w:val="8F0000"/>
          <w:lang w:val="en-US"/>
        </w:rPr>
        <w:t>4.</w:t>
      </w:r>
      <w:r w:rsidRPr="00CC2E4A">
        <w:rPr>
          <w:rFonts w:ascii="Verdana" w:eastAsia="Times New Roman" w:hAnsi="Verdana" w:cs="Times New Roman"/>
          <w:lang w:val="en-US"/>
        </w:rPr>
        <w:t>La articolul 14, alineatele (2) şi (4) se modifică şi vor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7" w:name="do|arI|pt4|pa1"/>
      <w:bookmarkEnd w:id="27"/>
      <w:r w:rsidRPr="00CC2E4A">
        <w:rPr>
          <w:rFonts w:ascii="Verdana" w:eastAsia="Times New Roman" w:hAnsi="Verdana" w:cs="Times New Roman"/>
          <w:lang w:val="en-US"/>
        </w:rPr>
        <w:t>"(2) Cheltuielile eligibile pentru sprijinul FEADR şi EURI pentru măsurile de investiţii sunt limitate la:</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8" w:name="do|arI|pt4|pa2"/>
      <w:bookmarkEnd w:id="28"/>
      <w:r w:rsidRPr="00CC2E4A">
        <w:rPr>
          <w:rFonts w:ascii="Verdana" w:eastAsia="Times New Roman" w:hAnsi="Verdana" w:cs="Times New Roman"/>
          <w:lang w:val="en-US"/>
        </w:rPr>
        <w:t>a) construcţia, achiziţia, inclusiv prin leasing, sau renovarea de bunuri imobile;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29" w:name="do|arI|pt4|pa3"/>
      <w:bookmarkEnd w:id="29"/>
      <w:r w:rsidRPr="00CC2E4A">
        <w:rPr>
          <w:rFonts w:ascii="Verdana" w:eastAsia="Times New Roman" w:hAnsi="Verdana" w:cs="Times New Roman"/>
          <w:lang w:val="en-US"/>
        </w:rPr>
        <w:t>b) achiziţionarea sau cumpărarea prin leasing de maşini şi echipamente noi, în limita valorii pe piaţă a activului;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0" w:name="do|arI|pt4|pa4"/>
      <w:bookmarkEnd w:id="30"/>
      <w:r w:rsidRPr="00CC2E4A">
        <w:rPr>
          <w:rFonts w:ascii="Verdana" w:eastAsia="Times New Roman" w:hAnsi="Verdana" w:cs="Times New Roman"/>
          <w:lang w:val="en-US"/>
        </w:rPr>
        <w:t>c) costurile generale ocazionate de cheltuielile menţionate la lit. a) şi b), precum onorariile pentru arhitecţi, ingineri şi consultanţi, onorariile pentru consiliere privind durabilitatea economică şi de mediu, inclusiv studii de fezabilitate, în limita a 10% din totalul cheltuielilor eligibile pentru proiectele care prevăd şi construcţii-montaj şi în limita a 5% pentru proiectele care prevăd simpla achiziţie. Studiile de fezabilitate reprezintă cheltuieli eligibile chiar şi în cazul în care, pe baza rezultatelor acestora, nu se efectuează cheltuieli în temeiul lit. a) şi b);</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1" w:name="do|arI|pt4|pa5"/>
      <w:bookmarkEnd w:id="31"/>
      <w:r w:rsidRPr="00CC2E4A">
        <w:rPr>
          <w:rFonts w:ascii="Verdana" w:eastAsia="Times New Roman" w:hAnsi="Verdana" w:cs="Times New Roman"/>
          <w:lang w:val="en-US"/>
        </w:rPr>
        <w:t>d) următoarele investiţii intangibile: achiziţionarea sau dezvoltarea de software şi achiziţionarea de brevete, licenţe, drepturi de autor, mărci;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2" w:name="do|arI|pt4|pa6"/>
      <w:bookmarkEnd w:id="32"/>
      <w:r w:rsidRPr="00CC2E4A">
        <w:rPr>
          <w:rFonts w:ascii="Verdana" w:eastAsia="Times New Roman" w:hAnsi="Verdana" w:cs="Times New Roman"/>
          <w:lang w:val="en-US"/>
        </w:rPr>
        <w:t>e) costurile elaborării planurilor de gestionare a pădurilor şi echivalentul acestora;</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3" w:name="do|arI|pt4|pa7"/>
      <w:bookmarkEnd w:id="33"/>
      <w:r w:rsidRPr="00CC2E4A">
        <w:rPr>
          <w:rFonts w:ascii="Verdana" w:eastAsia="Times New Roman" w:hAnsi="Verdana" w:cs="Times New Roman"/>
          <w:lang w:val="en-US"/>
        </w:rPr>
        <w:t xml:space="preserve">f) cheltuieli similare celor de la lit. a)-e), în conformitate cu prevederile Regulamentului (UE) nr. </w:t>
      </w:r>
      <w:hyperlink r:id="rId37" w:history="1">
        <w:r w:rsidRPr="00CC2E4A">
          <w:rPr>
            <w:rFonts w:ascii="Verdana" w:eastAsia="Times New Roman" w:hAnsi="Verdana" w:cs="Times New Roman"/>
            <w:b/>
            <w:bCs/>
            <w:color w:val="333399"/>
            <w:u w:val="single"/>
            <w:lang w:val="en-US"/>
          </w:rPr>
          <w:t>1.305/2013</w:t>
        </w:r>
      </w:hyperlink>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4" w:name="do|arI|pt4|pa8"/>
      <w:bookmarkEnd w:id="34"/>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5" w:name="do|arI|pt4|pa9"/>
      <w:bookmarkEnd w:id="35"/>
      <w:r w:rsidRPr="00CC2E4A">
        <w:rPr>
          <w:rFonts w:ascii="Verdana" w:eastAsia="Times New Roman" w:hAnsi="Verdana" w:cs="Times New Roman"/>
          <w:lang w:val="en-US"/>
        </w:rPr>
        <w:t xml:space="preserve">(4) Cheltuielile eligibile trebuie să fie conforme cu cele din SDL şi să respecte prevederile regulamentelor (UE) nr. </w:t>
      </w:r>
      <w:hyperlink r:id="rId38" w:history="1">
        <w:r w:rsidRPr="00CC2E4A">
          <w:rPr>
            <w:rFonts w:ascii="Verdana" w:eastAsia="Times New Roman" w:hAnsi="Verdana" w:cs="Times New Roman"/>
            <w:b/>
            <w:bCs/>
            <w:color w:val="333399"/>
            <w:u w:val="single"/>
            <w:lang w:val="en-US"/>
          </w:rPr>
          <w:t>1.303/2013</w:t>
        </w:r>
      </w:hyperlink>
      <w:r w:rsidRPr="00CC2E4A">
        <w:rPr>
          <w:rFonts w:ascii="Verdana" w:eastAsia="Times New Roman" w:hAnsi="Verdana" w:cs="Times New Roman"/>
          <w:lang w:val="en-US"/>
        </w:rPr>
        <w:t xml:space="preserve">, nr. </w:t>
      </w:r>
      <w:hyperlink r:id="rId39" w:history="1">
        <w:r w:rsidRPr="00CC2E4A">
          <w:rPr>
            <w:rFonts w:ascii="Verdana" w:eastAsia="Times New Roman" w:hAnsi="Verdana" w:cs="Times New Roman"/>
            <w:b/>
            <w:bCs/>
            <w:color w:val="333399"/>
            <w:u w:val="single"/>
            <w:lang w:val="en-US"/>
          </w:rPr>
          <w:t>1.305/2013</w:t>
        </w:r>
      </w:hyperlink>
      <w:r w:rsidRPr="00CC2E4A">
        <w:rPr>
          <w:rFonts w:ascii="Verdana" w:eastAsia="Times New Roman" w:hAnsi="Verdana" w:cs="Times New Roman"/>
          <w:lang w:val="en-US"/>
        </w:rPr>
        <w:t xml:space="preserve"> şi </w:t>
      </w:r>
      <w:hyperlink r:id="rId40" w:history="1">
        <w:r w:rsidRPr="00CC2E4A">
          <w:rPr>
            <w:rFonts w:ascii="Verdana" w:eastAsia="Times New Roman" w:hAnsi="Verdana" w:cs="Times New Roman"/>
            <w:b/>
            <w:bCs/>
            <w:color w:val="333399"/>
            <w:u w:val="single"/>
            <w:lang w:val="en-US"/>
          </w:rPr>
          <w:t>2020/2.094</w:t>
        </w:r>
      </w:hyperlink>
      <w:r w:rsidRPr="00CC2E4A">
        <w:rPr>
          <w:rFonts w:ascii="Verdana" w:eastAsia="Times New Roman" w:hAnsi="Verdana" w:cs="Times New Roman"/>
          <w:lang w:val="en-US"/>
        </w:rPr>
        <w:t>, precum şi cele prevăzute în cap. 8.1 din PNDR 2014-2020."</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6" w:name="do|arI|pt5"/>
      <w:r w:rsidRPr="00CC2E4A">
        <w:rPr>
          <w:rFonts w:ascii="Verdana" w:eastAsia="Times New Roman" w:hAnsi="Verdana" w:cs="Times New Roman"/>
          <w:b/>
          <w:bCs/>
          <w:noProof/>
          <w:color w:val="333399"/>
          <w:lang w:val="en-US"/>
        </w:rPr>
        <w:drawing>
          <wp:inline distT="0" distB="0" distL="0" distR="0">
            <wp:extent cx="95250" cy="95250"/>
            <wp:effectExtent l="0" t="0" r="0" b="0"/>
            <wp:docPr id="9" name="Picture 9"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CC2E4A">
        <w:rPr>
          <w:rFonts w:ascii="Verdana" w:eastAsia="Times New Roman" w:hAnsi="Verdana" w:cs="Times New Roman"/>
          <w:b/>
          <w:bCs/>
          <w:color w:val="8F0000"/>
          <w:lang w:val="en-US"/>
        </w:rPr>
        <w:t>5.</w:t>
      </w:r>
      <w:r w:rsidRPr="00CC2E4A">
        <w:rPr>
          <w:rFonts w:ascii="Verdana" w:eastAsia="Times New Roman" w:hAnsi="Verdana" w:cs="Times New Roman"/>
          <w:lang w:val="en-US"/>
        </w:rPr>
        <w:t>La articolul 20, alineatele (1) şi (3) se modifică şi vor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7" w:name="do|arI|pt5|pa1"/>
      <w:bookmarkEnd w:id="37"/>
      <w:r w:rsidRPr="00CC2E4A">
        <w:rPr>
          <w:rFonts w:ascii="Verdana" w:eastAsia="Times New Roman" w:hAnsi="Verdana" w:cs="Times New Roman"/>
          <w:lang w:val="en-US"/>
        </w:rPr>
        <w:t>"Art. 20</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8" w:name="do|arI|pt5|pa2"/>
      <w:bookmarkEnd w:id="38"/>
      <w:r w:rsidRPr="00CC2E4A">
        <w:rPr>
          <w:rFonts w:ascii="Verdana" w:eastAsia="Times New Roman" w:hAnsi="Verdana" w:cs="Times New Roman"/>
          <w:lang w:val="en-US"/>
        </w:rPr>
        <w:t xml:space="preserve">(1) Ajutorul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se acordă după ce administratorul prezentei scheme verifică declaraţia pe propria răspundere a aplicantului, respectiv faptul că suma totală a ajutoarelor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acordate unei întreprinderi sau întreprinderi unice pe parcursul unei perioade de 2 ani fiscali anteriori şi anul fiscal în curs, fie din surse ale statului ori ale autorităţilor locale, fie din surse ale bugetului Uniunii Europene, cumulate cu prevederile prezentei scheme, nu depăşeşte pragul de 200.000 euro, respectiv de 100.000 euro, în cazul solicitanţilor care îşi desfăşoară activitatea în sectorul transportului rutier de mărfuri în contul terţilor sau contra cost, echivalent în lei, şi că se respectă toate condiţiile din Regulamentul (UE) nr. </w:t>
      </w:r>
      <w:hyperlink r:id="rId41" w:history="1">
        <w:r w:rsidRPr="00CC2E4A">
          <w:rPr>
            <w:rFonts w:ascii="Verdana" w:eastAsia="Times New Roman" w:hAnsi="Verdana" w:cs="Times New Roman"/>
            <w:b/>
            <w:bCs/>
            <w:color w:val="333399"/>
            <w:u w:val="single"/>
            <w:lang w:val="en-US"/>
          </w:rPr>
          <w:t>1.407/2013</w:t>
        </w:r>
      </w:hyperlink>
      <w:r w:rsidRPr="00CC2E4A">
        <w:rPr>
          <w:rFonts w:ascii="Verdana" w:eastAsia="Times New Roman" w:hAnsi="Verdana" w:cs="Times New Roman"/>
          <w:lang w:val="en-US"/>
        </w:rPr>
        <w:t xml:space="preserve"> şi ale prezentei scheme.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39" w:name="do|arI|pt5|pa3"/>
      <w:bookmarkEnd w:id="39"/>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0" w:name="do|arI|pt5|pa4"/>
      <w:bookmarkEnd w:id="40"/>
      <w:r w:rsidRPr="00CC2E4A">
        <w:rPr>
          <w:rFonts w:ascii="Verdana" w:eastAsia="Times New Roman" w:hAnsi="Verdana" w:cs="Times New Roman"/>
          <w:lang w:val="en-US"/>
        </w:rPr>
        <w:t xml:space="preserve">(3) În cazul în care valoarea totală a ajutoarelor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acordate unei întreprinderi pe o perioadă de 3 ani consecutivi (anul fiscal în care se acordă ajutorul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şi cei 2 ani fiscali anteriori), cumulată cu valoarea alocării financiare solicitate în baza prezentei scheme, depăşeşte pragul de 200.000 euro (100.000 euro, în cazul solicitanţilor care îşi desfăşoară activitatea în sectorul transportului rutier de mărfuri în contul terţilor sau contra cost), solicitantul poate beneficia, dacă solicită acest lucru, de prevederile prezentei scheme de ajutor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doar pentru </w:t>
      </w:r>
      <w:r w:rsidRPr="00CC2E4A">
        <w:rPr>
          <w:rFonts w:ascii="Verdana" w:eastAsia="Times New Roman" w:hAnsi="Verdana" w:cs="Times New Roman"/>
          <w:lang w:val="en-US"/>
        </w:rPr>
        <w:lastRenderedPageBreak/>
        <w:t xml:space="preserve">acea fracţiune din ajutor care, cumulată cu restul ajutoarelor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primite anterior, nu depăşeşte acest plafon. De asemenea, întreprinderea poate alege între reducerea valorii ajutorului solicitat, astfel încât să se încadreze în plafon, sau rambursarea totală sau parţială a ajutorului anterior obţinut, pentru a fi respectat plafonul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1" w:name="do|arI|pt6"/>
      <w:r w:rsidRPr="00CC2E4A">
        <w:rPr>
          <w:rFonts w:ascii="Verdana" w:eastAsia="Times New Roman" w:hAnsi="Verdana" w:cs="Times New Roman"/>
          <w:b/>
          <w:bCs/>
          <w:noProof/>
          <w:color w:val="333399"/>
          <w:lang w:val="en-US"/>
        </w:rPr>
        <w:drawing>
          <wp:inline distT="0" distB="0" distL="0" distR="0">
            <wp:extent cx="95250" cy="95250"/>
            <wp:effectExtent l="0" t="0" r="0" b="0"/>
            <wp:docPr id="8" name="Picture 8"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CC2E4A">
        <w:rPr>
          <w:rFonts w:ascii="Verdana" w:eastAsia="Times New Roman" w:hAnsi="Verdana" w:cs="Times New Roman"/>
          <w:b/>
          <w:bCs/>
          <w:color w:val="8F0000"/>
          <w:lang w:val="en-US"/>
        </w:rPr>
        <w:t>6.</w:t>
      </w:r>
      <w:r w:rsidRPr="00CC2E4A">
        <w:rPr>
          <w:rFonts w:ascii="Verdana" w:eastAsia="Times New Roman" w:hAnsi="Verdana" w:cs="Times New Roman"/>
          <w:lang w:val="en-US"/>
        </w:rPr>
        <w:t>Articolul 24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2" w:name="do|arI|pt6|pa1"/>
      <w:bookmarkEnd w:id="42"/>
      <w:r w:rsidRPr="00CC2E4A">
        <w:rPr>
          <w:rFonts w:ascii="Verdana" w:eastAsia="Times New Roman" w:hAnsi="Verdana" w:cs="Times New Roman"/>
          <w:lang w:val="en-US"/>
        </w:rPr>
        <w:t>"Art. 24</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3" w:name="do|arI|pt6|pa2"/>
      <w:bookmarkEnd w:id="43"/>
      <w:r w:rsidRPr="00CC2E4A">
        <w:rPr>
          <w:rFonts w:ascii="Verdana" w:eastAsia="Times New Roman" w:hAnsi="Verdana" w:cs="Times New Roman"/>
          <w:lang w:val="en-US"/>
        </w:rPr>
        <w:t xml:space="preserve">Prezenta schemă de ajutor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se aplică până la 30 iunie 2024, în conformitate cu prevederile art. 7 alin. (4) din Regulamentul (UE) nr. </w:t>
      </w:r>
      <w:hyperlink r:id="rId42" w:history="1">
        <w:r w:rsidRPr="00CC2E4A">
          <w:rPr>
            <w:rFonts w:ascii="Verdana" w:eastAsia="Times New Roman" w:hAnsi="Verdana" w:cs="Times New Roman"/>
            <w:b/>
            <w:bCs/>
            <w:color w:val="333399"/>
            <w:u w:val="single"/>
            <w:lang w:val="en-US"/>
          </w:rPr>
          <w:t>1.407/2013</w:t>
        </w:r>
      </w:hyperlink>
      <w:r w:rsidRPr="00CC2E4A">
        <w:rPr>
          <w:rFonts w:ascii="Verdana" w:eastAsia="Times New Roman" w:hAnsi="Verdana" w:cs="Times New Roman"/>
          <w:lang w:val="en-US"/>
        </w:rPr>
        <w:t xml:space="preserve">, în limita bugetului alocat, cu posibilitatea prelungirii, potrivit regulamentelor Uniunii Europene în materia ajutorului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pentru perioada post 2014-2020. Plăţile se efectuează până la data de 31 decembrie 2025."</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4" w:name="do|arI|pt7"/>
      <w:r w:rsidRPr="00CC2E4A">
        <w:rPr>
          <w:rFonts w:ascii="Verdana" w:eastAsia="Times New Roman" w:hAnsi="Verdana" w:cs="Times New Roman"/>
          <w:b/>
          <w:bCs/>
          <w:noProof/>
          <w:color w:val="333399"/>
          <w:lang w:val="en-US"/>
        </w:rPr>
        <w:drawing>
          <wp:inline distT="0" distB="0" distL="0" distR="0">
            <wp:extent cx="95250" cy="95250"/>
            <wp:effectExtent l="0" t="0" r="0" b="0"/>
            <wp:docPr id="7" name="Picture 7"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CC2E4A">
        <w:rPr>
          <w:rFonts w:ascii="Verdana" w:eastAsia="Times New Roman" w:hAnsi="Verdana" w:cs="Times New Roman"/>
          <w:b/>
          <w:bCs/>
          <w:color w:val="8F0000"/>
          <w:lang w:val="en-US"/>
        </w:rPr>
        <w:t>7.</w:t>
      </w:r>
      <w:r w:rsidRPr="00CC2E4A">
        <w:rPr>
          <w:rFonts w:ascii="Verdana" w:eastAsia="Times New Roman" w:hAnsi="Verdana" w:cs="Times New Roman"/>
          <w:lang w:val="en-US"/>
        </w:rPr>
        <w:t>Articolul 25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5" w:name="do|arI|pt7|pa1"/>
      <w:bookmarkEnd w:id="45"/>
      <w:r w:rsidRPr="00CC2E4A">
        <w:rPr>
          <w:rFonts w:ascii="Verdana" w:eastAsia="Times New Roman" w:hAnsi="Verdana" w:cs="Times New Roman"/>
          <w:lang w:val="en-US"/>
        </w:rPr>
        <w:t>"Art. 25</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6" w:name="do|arI|pt7|pa2"/>
      <w:bookmarkEnd w:id="46"/>
      <w:r w:rsidRPr="00CC2E4A">
        <w:rPr>
          <w:rFonts w:ascii="Verdana" w:eastAsia="Times New Roman" w:hAnsi="Verdana" w:cs="Times New Roman"/>
          <w:lang w:val="en-US"/>
        </w:rPr>
        <w:t xml:space="preserve">(1) Bugetul schemei, reprezentând valoarea totală estimată a ajutorului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angajat pe durata de aplicare a acesteia, este de 357.112.591 euro (echivalent în lei la cursul Băncii Centrale Europene de la 1 ianuarie al anului intrării în vigoare a ordinului ministrului agriculturii şi dezvoltării rurale de modificare a prezentei scheme), în limita alocării din cadrul PNDR a acestei submăsuri.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7" w:name="do|arI|pt7|pa3"/>
      <w:bookmarkEnd w:id="47"/>
      <w:r w:rsidRPr="00CC2E4A">
        <w:rPr>
          <w:rFonts w:ascii="Verdana" w:eastAsia="Times New Roman" w:hAnsi="Verdana" w:cs="Times New Roman"/>
          <w:lang w:val="en-US"/>
        </w:rPr>
        <w:t>(2) Bugetul total este constituit din 321.401.332 euro fonduri europene, la care se adaugă 35.711.259 euro fonduri naţionale."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8" w:name="do|arI|pt8"/>
      <w:r w:rsidRPr="00CC2E4A">
        <w:rPr>
          <w:rFonts w:ascii="Verdana" w:eastAsia="Times New Roman" w:hAnsi="Verdana" w:cs="Times New Roman"/>
          <w:b/>
          <w:bCs/>
          <w:noProof/>
          <w:color w:val="333399"/>
          <w:lang w:val="en-US"/>
        </w:rPr>
        <w:drawing>
          <wp:inline distT="0" distB="0" distL="0" distR="0">
            <wp:extent cx="95250" cy="95250"/>
            <wp:effectExtent l="0" t="0" r="0" b="0"/>
            <wp:docPr id="6" name="Picture 6"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CC2E4A">
        <w:rPr>
          <w:rFonts w:ascii="Verdana" w:eastAsia="Times New Roman" w:hAnsi="Verdana" w:cs="Times New Roman"/>
          <w:b/>
          <w:bCs/>
          <w:color w:val="8F0000"/>
          <w:lang w:val="en-US"/>
        </w:rPr>
        <w:t>8.</w:t>
      </w:r>
      <w:r w:rsidRPr="00CC2E4A">
        <w:rPr>
          <w:rFonts w:ascii="Verdana" w:eastAsia="Times New Roman" w:hAnsi="Verdana" w:cs="Times New Roman"/>
          <w:lang w:val="en-US"/>
        </w:rPr>
        <w:t>Articolul 30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49" w:name="do|arI|pt8|pa1"/>
      <w:bookmarkEnd w:id="49"/>
      <w:r w:rsidRPr="00CC2E4A">
        <w:rPr>
          <w:rFonts w:ascii="Verdana" w:eastAsia="Times New Roman" w:hAnsi="Verdana" w:cs="Times New Roman"/>
          <w:lang w:val="en-US"/>
        </w:rPr>
        <w:t>"Art. 30</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0" w:name="do|arI|pt8|pa2"/>
      <w:bookmarkEnd w:id="50"/>
      <w:r w:rsidRPr="00CC2E4A">
        <w:rPr>
          <w:rFonts w:ascii="Verdana" w:eastAsia="Times New Roman" w:hAnsi="Verdana" w:cs="Times New Roman"/>
          <w:lang w:val="en-US"/>
        </w:rPr>
        <w:t xml:space="preserve">Monitorizarea, raportarea şi păstrarea evidenţelor ajutoarelor acordate în baza prezentei scheme se fac în conformitate cu legislaţia europeană şi cu prevederile Regulamentului privind procedurile de monitorizare a ajutoarelor de stat şi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pus în aplicare prin Ordinul preşedintelui Consiliului Concurenţei nr. </w:t>
      </w:r>
      <w:hyperlink r:id="rId43" w:history="1">
        <w:r w:rsidRPr="00CC2E4A">
          <w:rPr>
            <w:rFonts w:ascii="Verdana" w:eastAsia="Times New Roman" w:hAnsi="Verdana" w:cs="Times New Roman"/>
            <w:b/>
            <w:bCs/>
            <w:color w:val="333399"/>
            <w:u w:val="single"/>
            <w:lang w:val="en-US"/>
          </w:rPr>
          <w:t>441/2022</w:t>
        </w:r>
      </w:hyperlink>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1" w:name="do|arI|pt9"/>
      <w:r w:rsidRPr="00CC2E4A">
        <w:rPr>
          <w:rFonts w:ascii="Verdana" w:eastAsia="Times New Roman" w:hAnsi="Verdana" w:cs="Times New Roman"/>
          <w:b/>
          <w:bCs/>
          <w:noProof/>
          <w:color w:val="333399"/>
          <w:lang w:val="en-US"/>
        </w:rPr>
        <w:drawing>
          <wp:inline distT="0" distB="0" distL="0" distR="0">
            <wp:extent cx="95250" cy="95250"/>
            <wp:effectExtent l="0" t="0" r="0" b="0"/>
            <wp:docPr id="5" name="Picture 5"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CC2E4A">
        <w:rPr>
          <w:rFonts w:ascii="Verdana" w:eastAsia="Times New Roman" w:hAnsi="Verdana" w:cs="Times New Roman"/>
          <w:b/>
          <w:bCs/>
          <w:color w:val="8F0000"/>
          <w:lang w:val="en-US"/>
        </w:rPr>
        <w:t>9.</w:t>
      </w:r>
      <w:r w:rsidRPr="00CC2E4A">
        <w:rPr>
          <w:rFonts w:ascii="Verdana" w:eastAsia="Times New Roman" w:hAnsi="Verdana" w:cs="Times New Roman"/>
          <w:lang w:val="en-US"/>
        </w:rPr>
        <w:t>La articolul 32, alineatul (2)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2" w:name="do|arI|pt9|pa1"/>
      <w:bookmarkEnd w:id="52"/>
      <w:r w:rsidRPr="00CC2E4A">
        <w:rPr>
          <w:rFonts w:ascii="Verdana" w:eastAsia="Times New Roman" w:hAnsi="Verdana" w:cs="Times New Roman"/>
          <w:lang w:val="en-US"/>
        </w:rPr>
        <w:t xml:space="preserve">"(2) MADR, în calitate de furnizor, pe baza datelor şi informaţiilor primite de la AFIR, are obligaţia de a transmite Consiliului Concurenţei toate datele şi informaţiile necesare pentru monitorizarea ajutoarelor de stat la nivel naţional, în formatul şi în termenul prevăzute de Regulamentul privind procedurile de monitorizare a ajutoarelor de stat şi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pus în aplicare prin Ordinul preşedintelui Consiliului Concurenţei nr. </w:t>
      </w:r>
      <w:hyperlink r:id="rId44" w:history="1">
        <w:r w:rsidRPr="00CC2E4A">
          <w:rPr>
            <w:rFonts w:ascii="Verdana" w:eastAsia="Times New Roman" w:hAnsi="Verdana" w:cs="Times New Roman"/>
            <w:b/>
            <w:bCs/>
            <w:color w:val="333399"/>
            <w:u w:val="single"/>
            <w:lang w:val="en-US"/>
          </w:rPr>
          <w:t>441/2022</w:t>
        </w:r>
      </w:hyperlink>
      <w:r w:rsidRPr="00CC2E4A">
        <w:rPr>
          <w:rFonts w:ascii="Verdana" w:eastAsia="Times New Roman" w:hAnsi="Verdana" w:cs="Times New Roman"/>
          <w:lang w:val="en-US"/>
        </w:rPr>
        <w:t>."</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3" w:name="do|arI|pt10"/>
      <w:r w:rsidRPr="00CC2E4A">
        <w:rPr>
          <w:rFonts w:ascii="Verdana" w:eastAsia="Times New Roman" w:hAnsi="Verdana" w:cs="Times New Roman"/>
          <w:b/>
          <w:bCs/>
          <w:noProof/>
          <w:color w:val="333399"/>
          <w:lang w:val="en-US"/>
        </w:rPr>
        <w:drawing>
          <wp:inline distT="0" distB="0" distL="0" distR="0">
            <wp:extent cx="95250" cy="95250"/>
            <wp:effectExtent l="0" t="0" r="0" b="0"/>
            <wp:docPr id="4" name="Picture 4"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CC2E4A">
        <w:rPr>
          <w:rFonts w:ascii="Verdana" w:eastAsia="Times New Roman" w:hAnsi="Verdana" w:cs="Times New Roman"/>
          <w:b/>
          <w:bCs/>
          <w:color w:val="8F0000"/>
          <w:lang w:val="en-US"/>
        </w:rPr>
        <w:t>10.</w:t>
      </w:r>
      <w:r w:rsidRPr="00CC2E4A">
        <w:rPr>
          <w:rFonts w:ascii="Verdana" w:eastAsia="Times New Roman" w:hAnsi="Verdana" w:cs="Times New Roman"/>
          <w:lang w:val="en-US"/>
        </w:rPr>
        <w:t>La articolul 36, alineatul (2)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4" w:name="do|arI|pt10|pa1"/>
      <w:bookmarkEnd w:id="54"/>
      <w:r w:rsidRPr="00CC2E4A">
        <w:rPr>
          <w:rFonts w:ascii="Verdana" w:eastAsia="Times New Roman" w:hAnsi="Verdana" w:cs="Times New Roman"/>
          <w:lang w:val="en-US"/>
        </w:rPr>
        <w:t xml:space="preserve">"(2) Ajutorul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care trebuie recuperat include şi dobânda aferentă, datorată de la data plăţii până la data recuperării. Rata dobânzii aplicabile este cea stabilită potrivit prevederilor Regulamentului (UE) </w:t>
      </w:r>
      <w:hyperlink r:id="rId45" w:history="1">
        <w:r w:rsidRPr="00CC2E4A">
          <w:rPr>
            <w:rFonts w:ascii="Verdana" w:eastAsia="Times New Roman" w:hAnsi="Verdana" w:cs="Times New Roman"/>
            <w:b/>
            <w:bCs/>
            <w:color w:val="333399"/>
            <w:u w:val="single"/>
            <w:lang w:val="en-US"/>
          </w:rPr>
          <w:t>2015/1.589</w:t>
        </w:r>
      </w:hyperlink>
      <w:r w:rsidRPr="00CC2E4A">
        <w:rPr>
          <w:rFonts w:ascii="Verdana" w:eastAsia="Times New Roman" w:hAnsi="Verdana" w:cs="Times New Roman"/>
          <w:lang w:val="en-US"/>
        </w:rPr>
        <w:t xml:space="preserve"> al Consiliului din 13 iulie 2015 de stabilire a normelor de aplicare a art. 108 din </w:t>
      </w:r>
      <w:hyperlink r:id="rId46" w:history="1">
        <w:r w:rsidRPr="00CC2E4A">
          <w:rPr>
            <w:rFonts w:ascii="Verdana" w:eastAsia="Times New Roman" w:hAnsi="Verdana" w:cs="Times New Roman"/>
            <w:b/>
            <w:bCs/>
            <w:color w:val="333399"/>
            <w:u w:val="single"/>
            <w:lang w:val="en-US"/>
          </w:rPr>
          <w:t>Tratatul privind funcţionarea Uniunii Europene</w:t>
        </w:r>
      </w:hyperlink>
      <w:r w:rsidRPr="00CC2E4A">
        <w:rPr>
          <w:rFonts w:ascii="Verdana" w:eastAsia="Times New Roman" w:hAnsi="Verdana" w:cs="Times New Roman"/>
          <w:lang w:val="en-US"/>
        </w:rPr>
        <w:t>, respectiv rata dobânzii publicată de Comisia Europeană în Jurnalul Oficial al Uniunii Europene şi, cu titlu de informare, pe pagina de internet a Direcţiei generale concurenţă a Comisiei Europene."</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5" w:name="do|arI|pt11"/>
      <w:r w:rsidRPr="00CC2E4A">
        <w:rPr>
          <w:rFonts w:ascii="Verdana" w:eastAsia="Times New Roman" w:hAnsi="Verdana" w:cs="Times New Roman"/>
          <w:b/>
          <w:bCs/>
          <w:noProof/>
          <w:color w:val="333399"/>
          <w:lang w:val="en-US"/>
        </w:rPr>
        <w:drawing>
          <wp:inline distT="0" distB="0" distL="0" distR="0">
            <wp:extent cx="95250" cy="95250"/>
            <wp:effectExtent l="0" t="0" r="0" b="0"/>
            <wp:docPr id="3" name="Picture 3"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CC2E4A">
        <w:rPr>
          <w:rFonts w:ascii="Verdana" w:eastAsia="Times New Roman" w:hAnsi="Verdana" w:cs="Times New Roman"/>
          <w:b/>
          <w:bCs/>
          <w:color w:val="8F0000"/>
          <w:lang w:val="en-US"/>
        </w:rPr>
        <w:t>11.</w:t>
      </w:r>
      <w:r w:rsidRPr="00CC2E4A">
        <w:rPr>
          <w:rFonts w:ascii="Verdana" w:eastAsia="Times New Roman" w:hAnsi="Verdana" w:cs="Times New Roman"/>
          <w:lang w:val="en-US"/>
        </w:rPr>
        <w:t>Titlul capitolului XVI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6" w:name="do|arI|pt11|pa1"/>
      <w:bookmarkEnd w:id="56"/>
      <w:r w:rsidRPr="00CC2E4A">
        <w:rPr>
          <w:rFonts w:ascii="Verdana" w:eastAsia="Times New Roman" w:hAnsi="Verdana" w:cs="Times New Roman"/>
          <w:lang w:val="en-US"/>
        </w:rPr>
        <w:t>"CAPITOLUL XVI: Dispoziţii finale şi tranzitorii"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7" w:name="do|arI|pt12"/>
      <w:r w:rsidRPr="00CC2E4A">
        <w:rPr>
          <w:rFonts w:ascii="Verdana" w:eastAsia="Times New Roman" w:hAnsi="Verdana" w:cs="Times New Roman"/>
          <w:b/>
          <w:bCs/>
          <w:noProof/>
          <w:color w:val="333399"/>
          <w:lang w:val="en-US"/>
        </w:rPr>
        <w:drawing>
          <wp:inline distT="0" distB="0" distL="0" distR="0">
            <wp:extent cx="95250" cy="95250"/>
            <wp:effectExtent l="0" t="0" r="0" b="0"/>
            <wp:docPr id="2" name="Picture 2"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CC2E4A">
        <w:rPr>
          <w:rFonts w:ascii="Verdana" w:eastAsia="Times New Roman" w:hAnsi="Verdana" w:cs="Times New Roman"/>
          <w:b/>
          <w:bCs/>
          <w:color w:val="8F0000"/>
          <w:lang w:val="en-US"/>
        </w:rPr>
        <w:t>12.</w:t>
      </w:r>
      <w:r w:rsidRPr="00CC2E4A">
        <w:rPr>
          <w:rFonts w:ascii="Verdana" w:eastAsia="Times New Roman" w:hAnsi="Verdana" w:cs="Times New Roman"/>
          <w:lang w:val="en-US"/>
        </w:rPr>
        <w:t>Articolul 37 se modifică şi va avea următorul cuprins:</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8" w:name="do|arI|pt12|pa1"/>
      <w:bookmarkEnd w:id="58"/>
      <w:r w:rsidRPr="00CC2E4A">
        <w:rPr>
          <w:rFonts w:ascii="Verdana" w:eastAsia="Times New Roman" w:hAnsi="Verdana" w:cs="Times New Roman"/>
          <w:lang w:val="en-US"/>
        </w:rPr>
        <w:t>"Art. 37</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59" w:name="do|arI|pt12|pa2"/>
      <w:bookmarkEnd w:id="59"/>
      <w:r w:rsidRPr="00CC2E4A">
        <w:rPr>
          <w:rFonts w:ascii="Verdana" w:eastAsia="Times New Roman" w:hAnsi="Verdana" w:cs="Times New Roman"/>
          <w:lang w:val="en-US"/>
        </w:rPr>
        <w:lastRenderedPageBreak/>
        <w:t xml:space="preserve">MADR, în calitatea sa de furnizor al schemei de ajutor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se obligă să actualizeze prezenta schemă conform reglementărilor europene privind ajutorul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în vigoare după data de 31 decembrie 2023, cu avizul prealabil al Consiliului Concurenţei. Toate ajutoarele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acordate beneficiarilor de proiecte, în baza prezentei scheme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vor respecta condiţiile stabilite de reglementările europene privind ajutorul </w:t>
      </w:r>
      <w:r w:rsidRPr="00CC2E4A">
        <w:rPr>
          <w:rFonts w:ascii="Verdana" w:eastAsia="Times New Roman" w:hAnsi="Verdana" w:cs="Times New Roman"/>
          <w:i/>
          <w:iCs/>
          <w:lang w:val="en-US"/>
        </w:rPr>
        <w:t>de minimis</w:t>
      </w:r>
      <w:r w:rsidRPr="00CC2E4A">
        <w:rPr>
          <w:rFonts w:ascii="Verdana" w:eastAsia="Times New Roman" w:hAnsi="Verdana" w:cs="Times New Roman"/>
          <w:lang w:val="en-US"/>
        </w:rPr>
        <w:t xml:space="preserve"> aplicabile la momentul acordării sprijinului."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60" w:name="do|arII"/>
      <w:r w:rsidRPr="00CC2E4A">
        <w:rPr>
          <w:rFonts w:ascii="Verdana" w:eastAsia="Times New Roman" w:hAnsi="Verdana" w:cs="Times New Roman"/>
          <w:b/>
          <w:bCs/>
          <w:noProof/>
          <w:color w:val="333399"/>
          <w:lang w:val="en-US"/>
        </w:rPr>
        <w:drawing>
          <wp:inline distT="0" distB="0" distL="0" distR="0">
            <wp:extent cx="95250" cy="95250"/>
            <wp:effectExtent l="0" t="0" r="0" b="0"/>
            <wp:docPr id="1" name="Picture 1" descr="D:\USERS\dfacus\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D:\USERS\dfacus\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CC2E4A">
        <w:rPr>
          <w:rFonts w:ascii="Verdana" w:eastAsia="Times New Roman" w:hAnsi="Verdana" w:cs="Times New Roman"/>
          <w:b/>
          <w:bCs/>
          <w:color w:val="0000AF"/>
          <w:lang w:val="en-US"/>
        </w:rPr>
        <w:t>Art. II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61" w:name="do|arII|pa1"/>
      <w:bookmarkEnd w:id="61"/>
      <w:r w:rsidRPr="00CC2E4A">
        <w:rPr>
          <w:rFonts w:ascii="Verdana" w:eastAsia="Times New Roman" w:hAnsi="Verdana" w:cs="Times New Roman"/>
          <w:lang w:val="en-US"/>
        </w:rPr>
        <w:t>Prezentul ordin se publică în Monitorul Oficial al României, Partea I.</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62" w:name="do|pa16"/>
      <w:bookmarkEnd w:id="62"/>
      <w:r w:rsidRPr="00CC2E4A">
        <w:rPr>
          <w:rFonts w:ascii="Verdana" w:eastAsia="Times New Roman" w:hAnsi="Verdana" w:cs="Times New Roman"/>
          <w:lang w:val="en-US"/>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C2E4A" w:rsidRPr="00CC2E4A" w:rsidTr="00CC2E4A">
        <w:trPr>
          <w:trHeight w:val="15"/>
          <w:tblCellSpacing w:w="0" w:type="dxa"/>
          <w:jc w:val="center"/>
        </w:trPr>
        <w:tc>
          <w:tcPr>
            <w:tcW w:w="0" w:type="auto"/>
            <w:hideMark/>
          </w:tcPr>
          <w:p w:rsidR="00CC2E4A" w:rsidRPr="00CC2E4A" w:rsidRDefault="00CC2E4A" w:rsidP="00CC2E4A">
            <w:pPr>
              <w:spacing w:after="0" w:line="240" w:lineRule="auto"/>
              <w:jc w:val="center"/>
              <w:rPr>
                <w:rFonts w:ascii="Verdana" w:eastAsia="Times New Roman" w:hAnsi="Verdana" w:cs="Times New Roman"/>
                <w:color w:val="000000"/>
                <w:sz w:val="16"/>
                <w:szCs w:val="16"/>
                <w:lang w:val="en-US"/>
              </w:rPr>
            </w:pPr>
            <w:bookmarkStart w:id="63" w:name="do|pa17"/>
            <w:bookmarkEnd w:id="63"/>
            <w:r w:rsidRPr="00CC2E4A">
              <w:rPr>
                <w:rFonts w:ascii="Verdana" w:eastAsia="Times New Roman" w:hAnsi="Verdana" w:cs="Times New Roman"/>
                <w:color w:val="000000"/>
                <w:sz w:val="16"/>
                <w:szCs w:val="16"/>
                <w:lang w:val="en-US"/>
              </w:rPr>
              <w:t>Ministrul agriculturii şi dezvoltării rurale,</w:t>
            </w:r>
          </w:p>
          <w:p w:rsidR="00CC2E4A" w:rsidRPr="00CC2E4A" w:rsidRDefault="00CC2E4A" w:rsidP="00CC2E4A">
            <w:pPr>
              <w:spacing w:after="0" w:line="240" w:lineRule="auto"/>
              <w:jc w:val="center"/>
              <w:rPr>
                <w:rFonts w:ascii="Verdana" w:eastAsia="Times New Roman" w:hAnsi="Verdana" w:cs="Times New Roman"/>
                <w:color w:val="000000"/>
                <w:sz w:val="16"/>
                <w:szCs w:val="16"/>
                <w:lang w:val="en-US"/>
              </w:rPr>
            </w:pPr>
            <w:r w:rsidRPr="00CC2E4A">
              <w:rPr>
                <w:rFonts w:ascii="Verdana" w:eastAsia="Times New Roman" w:hAnsi="Verdana" w:cs="Times New Roman"/>
                <w:b/>
                <w:bCs/>
                <w:color w:val="000000"/>
                <w:sz w:val="16"/>
                <w:szCs w:val="16"/>
                <w:lang w:val="en-US"/>
              </w:rPr>
              <w:t>Florin-Ionuţ Barbu</w:t>
            </w:r>
          </w:p>
        </w:tc>
      </w:tr>
    </w:tbl>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bookmarkStart w:id="64" w:name="do|pa18"/>
      <w:bookmarkEnd w:id="64"/>
      <w:r w:rsidRPr="00CC2E4A">
        <w:rPr>
          <w:rFonts w:ascii="Verdana" w:eastAsia="Times New Roman" w:hAnsi="Verdana" w:cs="Times New Roman"/>
          <w:lang w:val="en-US"/>
        </w:rPr>
        <w:t>Publicat în Monitorul Oficial cu numărul 1101 din data de 7 decembrie 2023</w:t>
      </w:r>
    </w:p>
    <w:p w:rsidR="00CC2E4A" w:rsidRPr="00CC2E4A" w:rsidRDefault="00CC2E4A" w:rsidP="00CC2E4A">
      <w:pPr>
        <w:shd w:val="clear" w:color="auto" w:fill="FFFFFF"/>
        <w:spacing w:after="0" w:line="240" w:lineRule="auto"/>
        <w:jc w:val="both"/>
        <w:rPr>
          <w:rFonts w:ascii="Verdana" w:eastAsia="Times New Roman" w:hAnsi="Verdana" w:cs="Times New Roman"/>
          <w:lang w:val="en-US"/>
        </w:rPr>
      </w:pPr>
      <w:r w:rsidRPr="00CC2E4A">
        <w:rPr>
          <w:rFonts w:ascii="Verdana" w:eastAsia="Times New Roman" w:hAnsi="Verdana" w:cs="Times New Roman"/>
          <w:lang w:val="en-US"/>
        </w:rPr>
        <w:br/>
      </w:r>
      <w:r w:rsidRPr="00CC2E4A">
        <w:rPr>
          <w:rFonts w:ascii="Verdana" w:eastAsia="Times New Roman" w:hAnsi="Verdana" w:cs="Times New Roman"/>
          <w:sz w:val="15"/>
          <w:szCs w:val="15"/>
          <w:lang w:val="en-US"/>
        </w:rPr>
        <w:t>Forma sintetică la data 08-Dec-2023. Acest act a fost creat utilizand tehnologia SintAct®-Acte Sintetice. SintAct® şi tehnologia Acte Sintetice sunt mărci inregistrate ale Wolters Kluwer.</w:t>
      </w:r>
    </w:p>
    <w:p w:rsidR="006F0CA2" w:rsidRDefault="006F0CA2">
      <w:bookmarkStart w:id="65" w:name="_GoBack"/>
      <w:bookmarkEnd w:id="65"/>
    </w:p>
    <w:sectPr w:rsidR="006F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E9"/>
    <w:rsid w:val="000C38E9"/>
    <w:rsid w:val="006E6C89"/>
    <w:rsid w:val="006F0CA2"/>
    <w:rsid w:val="00786849"/>
    <w:rsid w:val="00CC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CAEB1-EEB4-4073-A68B-FDAF73E0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2E4A"/>
    <w:rPr>
      <w:b/>
      <w:bCs/>
      <w:color w:val="333399"/>
      <w:u w:val="single"/>
    </w:rPr>
  </w:style>
  <w:style w:type="character" w:customStyle="1" w:styleId="do1">
    <w:name w:val="do1"/>
    <w:basedOn w:val="DefaultParagraphFont"/>
    <w:rsid w:val="00CC2E4A"/>
    <w:rPr>
      <w:b/>
      <w:bCs/>
      <w:sz w:val="26"/>
      <w:szCs w:val="26"/>
    </w:rPr>
  </w:style>
  <w:style w:type="character" w:customStyle="1" w:styleId="tpa1">
    <w:name w:val="tpa1"/>
    <w:basedOn w:val="DefaultParagraphFont"/>
    <w:rsid w:val="00CC2E4A"/>
  </w:style>
  <w:style w:type="character" w:customStyle="1" w:styleId="ar1">
    <w:name w:val="ar1"/>
    <w:basedOn w:val="DefaultParagraphFont"/>
    <w:rsid w:val="00CC2E4A"/>
    <w:rPr>
      <w:b/>
      <w:bCs/>
      <w:color w:val="0000AF"/>
      <w:sz w:val="22"/>
      <w:szCs w:val="22"/>
    </w:rPr>
  </w:style>
  <w:style w:type="character" w:customStyle="1" w:styleId="pt1">
    <w:name w:val="pt1"/>
    <w:basedOn w:val="DefaultParagraphFont"/>
    <w:rsid w:val="00CC2E4A"/>
    <w:rPr>
      <w:b/>
      <w:bCs/>
      <w:color w:val="8F0000"/>
    </w:rPr>
  </w:style>
  <w:style w:type="character" w:customStyle="1" w:styleId="tpt1">
    <w:name w:val="tpt1"/>
    <w:basedOn w:val="DefaultParagraphFont"/>
    <w:rsid w:val="00CC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281498">
      <w:bodyDiv w:val="1"/>
      <w:marLeft w:val="0"/>
      <w:marRight w:val="0"/>
      <w:marTop w:val="0"/>
      <w:marBottom w:val="0"/>
      <w:divBdr>
        <w:top w:val="none" w:sz="0" w:space="0" w:color="auto"/>
        <w:left w:val="none" w:sz="0" w:space="0" w:color="auto"/>
        <w:bottom w:val="none" w:sz="0" w:space="0" w:color="auto"/>
        <w:right w:val="none" w:sz="0" w:space="0" w:color="auto"/>
      </w:divBdr>
      <w:divsChild>
        <w:div w:id="1925332004">
          <w:marLeft w:val="0"/>
          <w:marRight w:val="0"/>
          <w:marTop w:val="0"/>
          <w:marBottom w:val="0"/>
          <w:divBdr>
            <w:top w:val="none" w:sz="0" w:space="0" w:color="auto"/>
            <w:left w:val="none" w:sz="0" w:space="0" w:color="auto"/>
            <w:bottom w:val="none" w:sz="0" w:space="0" w:color="auto"/>
            <w:right w:val="none" w:sz="0" w:space="0" w:color="auto"/>
          </w:divBdr>
          <w:divsChild>
            <w:div w:id="2102792855">
              <w:marLeft w:val="0"/>
              <w:marRight w:val="0"/>
              <w:marTop w:val="0"/>
              <w:marBottom w:val="0"/>
              <w:divBdr>
                <w:top w:val="dashed" w:sz="2" w:space="0" w:color="FFFFFF"/>
                <w:left w:val="dashed" w:sz="2" w:space="0" w:color="FFFFFF"/>
                <w:bottom w:val="dashed" w:sz="2" w:space="0" w:color="FFFFFF"/>
                <w:right w:val="dashed" w:sz="2" w:space="0" w:color="FFFFFF"/>
              </w:divBdr>
            </w:div>
            <w:div w:id="1212419062">
              <w:marLeft w:val="0"/>
              <w:marRight w:val="0"/>
              <w:marTop w:val="0"/>
              <w:marBottom w:val="0"/>
              <w:divBdr>
                <w:top w:val="dashed" w:sz="2" w:space="0" w:color="FFFFFF"/>
                <w:left w:val="dashed" w:sz="2" w:space="0" w:color="FFFFFF"/>
                <w:bottom w:val="dashed" w:sz="2" w:space="0" w:color="FFFFFF"/>
                <w:right w:val="dashed" w:sz="2" w:space="0" w:color="FFFFFF"/>
              </w:divBdr>
              <w:divsChild>
                <w:div w:id="1212613039">
                  <w:marLeft w:val="0"/>
                  <w:marRight w:val="0"/>
                  <w:marTop w:val="0"/>
                  <w:marBottom w:val="0"/>
                  <w:divBdr>
                    <w:top w:val="dashed" w:sz="2" w:space="0" w:color="FFFFFF"/>
                    <w:left w:val="dashed" w:sz="2" w:space="0" w:color="FFFFFF"/>
                    <w:bottom w:val="dashed" w:sz="2" w:space="0" w:color="FFFFFF"/>
                    <w:right w:val="dashed" w:sz="2" w:space="0" w:color="FFFFFF"/>
                  </w:divBdr>
                </w:div>
                <w:div w:id="656374406">
                  <w:marLeft w:val="0"/>
                  <w:marRight w:val="0"/>
                  <w:marTop w:val="0"/>
                  <w:marBottom w:val="0"/>
                  <w:divBdr>
                    <w:top w:val="dashed" w:sz="2" w:space="0" w:color="FFFFFF"/>
                    <w:left w:val="dashed" w:sz="2" w:space="0" w:color="FFFFFF"/>
                    <w:bottom w:val="dashed" w:sz="2" w:space="0" w:color="FFFFFF"/>
                    <w:right w:val="dashed" w:sz="2" w:space="0" w:color="FFFFFF"/>
                  </w:divBdr>
                </w:div>
                <w:div w:id="595285299">
                  <w:marLeft w:val="0"/>
                  <w:marRight w:val="0"/>
                  <w:marTop w:val="0"/>
                  <w:marBottom w:val="0"/>
                  <w:divBdr>
                    <w:top w:val="dashed" w:sz="2" w:space="0" w:color="FFFFFF"/>
                    <w:left w:val="dashed" w:sz="2" w:space="0" w:color="FFFFFF"/>
                    <w:bottom w:val="dashed" w:sz="2" w:space="0" w:color="FFFFFF"/>
                    <w:right w:val="dashed" w:sz="2" w:space="0" w:color="FFFFFF"/>
                  </w:divBdr>
                </w:div>
                <w:div w:id="686949278">
                  <w:marLeft w:val="0"/>
                  <w:marRight w:val="0"/>
                  <w:marTop w:val="0"/>
                  <w:marBottom w:val="0"/>
                  <w:divBdr>
                    <w:top w:val="dashed" w:sz="2" w:space="0" w:color="FFFFFF"/>
                    <w:left w:val="dashed" w:sz="2" w:space="0" w:color="FFFFFF"/>
                    <w:bottom w:val="dashed" w:sz="2" w:space="0" w:color="FFFFFF"/>
                    <w:right w:val="dashed" w:sz="2" w:space="0" w:color="FFFFFF"/>
                  </w:divBdr>
                </w:div>
                <w:div w:id="1515611816">
                  <w:marLeft w:val="0"/>
                  <w:marRight w:val="0"/>
                  <w:marTop w:val="0"/>
                  <w:marBottom w:val="0"/>
                  <w:divBdr>
                    <w:top w:val="dashed" w:sz="2" w:space="0" w:color="FFFFFF"/>
                    <w:left w:val="dashed" w:sz="2" w:space="0" w:color="FFFFFF"/>
                    <w:bottom w:val="dashed" w:sz="2" w:space="0" w:color="FFFFFF"/>
                    <w:right w:val="dashed" w:sz="2" w:space="0" w:color="FFFFFF"/>
                  </w:divBdr>
                </w:div>
                <w:div w:id="1360466880">
                  <w:marLeft w:val="0"/>
                  <w:marRight w:val="0"/>
                  <w:marTop w:val="0"/>
                  <w:marBottom w:val="0"/>
                  <w:divBdr>
                    <w:top w:val="dashed" w:sz="2" w:space="0" w:color="FFFFFF"/>
                    <w:left w:val="dashed" w:sz="2" w:space="0" w:color="FFFFFF"/>
                    <w:bottom w:val="dashed" w:sz="2" w:space="0" w:color="FFFFFF"/>
                    <w:right w:val="dashed" w:sz="2" w:space="0" w:color="FFFFFF"/>
                  </w:divBdr>
                </w:div>
                <w:div w:id="831139190">
                  <w:marLeft w:val="0"/>
                  <w:marRight w:val="0"/>
                  <w:marTop w:val="0"/>
                  <w:marBottom w:val="0"/>
                  <w:divBdr>
                    <w:top w:val="dashed" w:sz="2" w:space="0" w:color="FFFFFF"/>
                    <w:left w:val="dashed" w:sz="2" w:space="0" w:color="FFFFFF"/>
                    <w:bottom w:val="dashed" w:sz="2" w:space="0" w:color="FFFFFF"/>
                    <w:right w:val="dashed" w:sz="2" w:space="0" w:color="FFFFFF"/>
                  </w:divBdr>
                </w:div>
                <w:div w:id="513688953">
                  <w:marLeft w:val="0"/>
                  <w:marRight w:val="0"/>
                  <w:marTop w:val="0"/>
                  <w:marBottom w:val="0"/>
                  <w:divBdr>
                    <w:top w:val="dashed" w:sz="2" w:space="0" w:color="FFFFFF"/>
                    <w:left w:val="dashed" w:sz="2" w:space="0" w:color="FFFFFF"/>
                    <w:bottom w:val="dashed" w:sz="2" w:space="0" w:color="FFFFFF"/>
                    <w:right w:val="dashed" w:sz="2" w:space="0" w:color="FFFFFF"/>
                  </w:divBdr>
                </w:div>
                <w:div w:id="1645161447">
                  <w:marLeft w:val="0"/>
                  <w:marRight w:val="0"/>
                  <w:marTop w:val="0"/>
                  <w:marBottom w:val="0"/>
                  <w:divBdr>
                    <w:top w:val="dashed" w:sz="2" w:space="0" w:color="FFFFFF"/>
                    <w:left w:val="dashed" w:sz="2" w:space="0" w:color="FFFFFF"/>
                    <w:bottom w:val="dashed" w:sz="2" w:space="0" w:color="FFFFFF"/>
                    <w:right w:val="dashed" w:sz="2" w:space="0" w:color="FFFFFF"/>
                  </w:divBdr>
                </w:div>
                <w:div w:id="1450933499">
                  <w:marLeft w:val="0"/>
                  <w:marRight w:val="0"/>
                  <w:marTop w:val="0"/>
                  <w:marBottom w:val="0"/>
                  <w:divBdr>
                    <w:top w:val="dashed" w:sz="2" w:space="0" w:color="FFFFFF"/>
                    <w:left w:val="dashed" w:sz="2" w:space="0" w:color="FFFFFF"/>
                    <w:bottom w:val="dashed" w:sz="2" w:space="0" w:color="FFFFFF"/>
                    <w:right w:val="dashed" w:sz="2" w:space="0" w:color="FFFFFF"/>
                  </w:divBdr>
                </w:div>
                <w:div w:id="1753815135">
                  <w:marLeft w:val="0"/>
                  <w:marRight w:val="0"/>
                  <w:marTop w:val="0"/>
                  <w:marBottom w:val="0"/>
                  <w:divBdr>
                    <w:top w:val="dashed" w:sz="2" w:space="0" w:color="FFFFFF"/>
                    <w:left w:val="dashed" w:sz="2" w:space="0" w:color="FFFFFF"/>
                    <w:bottom w:val="dashed" w:sz="2" w:space="0" w:color="FFFFFF"/>
                    <w:right w:val="dashed" w:sz="2" w:space="0" w:color="FFFFFF"/>
                  </w:divBdr>
                </w:div>
                <w:div w:id="109277665">
                  <w:marLeft w:val="0"/>
                  <w:marRight w:val="0"/>
                  <w:marTop w:val="0"/>
                  <w:marBottom w:val="0"/>
                  <w:divBdr>
                    <w:top w:val="dashed" w:sz="2" w:space="0" w:color="FFFFFF"/>
                    <w:left w:val="dashed" w:sz="2" w:space="0" w:color="FFFFFF"/>
                    <w:bottom w:val="dashed" w:sz="2" w:space="0" w:color="FFFFFF"/>
                    <w:right w:val="dashed" w:sz="2" w:space="0" w:color="FFFFFF"/>
                  </w:divBdr>
                </w:div>
                <w:div w:id="1634941673">
                  <w:marLeft w:val="0"/>
                  <w:marRight w:val="0"/>
                  <w:marTop w:val="0"/>
                  <w:marBottom w:val="0"/>
                  <w:divBdr>
                    <w:top w:val="dashed" w:sz="2" w:space="0" w:color="FFFFFF"/>
                    <w:left w:val="dashed" w:sz="2" w:space="0" w:color="FFFFFF"/>
                    <w:bottom w:val="dashed" w:sz="2" w:space="0" w:color="FFFFFF"/>
                    <w:right w:val="dashed" w:sz="2" w:space="0" w:color="FFFFFF"/>
                  </w:divBdr>
                </w:div>
                <w:div w:id="192547783">
                  <w:marLeft w:val="0"/>
                  <w:marRight w:val="0"/>
                  <w:marTop w:val="0"/>
                  <w:marBottom w:val="0"/>
                  <w:divBdr>
                    <w:top w:val="dashed" w:sz="2" w:space="0" w:color="FFFFFF"/>
                    <w:left w:val="dashed" w:sz="2" w:space="0" w:color="FFFFFF"/>
                    <w:bottom w:val="dashed" w:sz="2" w:space="0" w:color="FFFFFF"/>
                    <w:right w:val="dashed" w:sz="2" w:space="0" w:color="FFFFFF"/>
                  </w:divBdr>
                </w:div>
                <w:div w:id="1681396675">
                  <w:marLeft w:val="0"/>
                  <w:marRight w:val="0"/>
                  <w:marTop w:val="0"/>
                  <w:marBottom w:val="0"/>
                  <w:divBdr>
                    <w:top w:val="dashed" w:sz="2" w:space="0" w:color="FFFFFF"/>
                    <w:left w:val="dashed" w:sz="2" w:space="0" w:color="FFFFFF"/>
                    <w:bottom w:val="dashed" w:sz="2" w:space="0" w:color="FFFFFF"/>
                    <w:right w:val="dashed" w:sz="2" w:space="0" w:color="FFFFFF"/>
                  </w:divBdr>
                </w:div>
                <w:div w:id="770592326">
                  <w:marLeft w:val="0"/>
                  <w:marRight w:val="0"/>
                  <w:marTop w:val="0"/>
                  <w:marBottom w:val="0"/>
                  <w:divBdr>
                    <w:top w:val="dashed" w:sz="2" w:space="0" w:color="FFFFFF"/>
                    <w:left w:val="dashed" w:sz="2" w:space="0" w:color="FFFFFF"/>
                    <w:bottom w:val="dashed" w:sz="2" w:space="0" w:color="FFFFFF"/>
                    <w:right w:val="dashed" w:sz="2" w:space="0" w:color="FFFFFF"/>
                  </w:divBdr>
                </w:div>
                <w:div w:id="765610180">
                  <w:marLeft w:val="0"/>
                  <w:marRight w:val="0"/>
                  <w:marTop w:val="0"/>
                  <w:marBottom w:val="0"/>
                  <w:divBdr>
                    <w:top w:val="dashed" w:sz="2" w:space="0" w:color="FFFFFF"/>
                    <w:left w:val="dashed" w:sz="2" w:space="0" w:color="FFFFFF"/>
                    <w:bottom w:val="dashed" w:sz="2" w:space="0" w:color="FFFFFF"/>
                    <w:right w:val="dashed" w:sz="2" w:space="0" w:color="FFFFFF"/>
                  </w:divBdr>
                  <w:divsChild>
                    <w:div w:id="1815834735">
                      <w:marLeft w:val="0"/>
                      <w:marRight w:val="0"/>
                      <w:marTop w:val="0"/>
                      <w:marBottom w:val="0"/>
                      <w:divBdr>
                        <w:top w:val="dashed" w:sz="2" w:space="0" w:color="FFFFFF"/>
                        <w:left w:val="dashed" w:sz="2" w:space="0" w:color="FFFFFF"/>
                        <w:bottom w:val="dashed" w:sz="2" w:space="0" w:color="FFFFFF"/>
                        <w:right w:val="dashed" w:sz="2" w:space="0" w:color="FFFFFF"/>
                      </w:divBdr>
                    </w:div>
                    <w:div w:id="1959800740">
                      <w:marLeft w:val="0"/>
                      <w:marRight w:val="0"/>
                      <w:marTop w:val="0"/>
                      <w:marBottom w:val="0"/>
                      <w:divBdr>
                        <w:top w:val="dashed" w:sz="2" w:space="0" w:color="FFFFFF"/>
                        <w:left w:val="dashed" w:sz="2" w:space="0" w:color="FFFFFF"/>
                        <w:bottom w:val="dashed" w:sz="2" w:space="0" w:color="FFFFFF"/>
                        <w:right w:val="dashed" w:sz="2" w:space="0" w:color="FFFFFF"/>
                      </w:divBdr>
                    </w:div>
                    <w:div w:id="1055618810">
                      <w:marLeft w:val="0"/>
                      <w:marRight w:val="0"/>
                      <w:marTop w:val="0"/>
                      <w:marBottom w:val="0"/>
                      <w:divBdr>
                        <w:top w:val="dashed" w:sz="2" w:space="0" w:color="FFFFFF"/>
                        <w:left w:val="dashed" w:sz="2" w:space="0" w:color="FFFFFF"/>
                        <w:bottom w:val="dashed" w:sz="2" w:space="0" w:color="FFFFFF"/>
                        <w:right w:val="dashed" w:sz="2" w:space="0" w:color="FFFFFF"/>
                      </w:divBdr>
                      <w:divsChild>
                        <w:div w:id="1237781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63417">
                      <w:marLeft w:val="0"/>
                      <w:marRight w:val="0"/>
                      <w:marTop w:val="0"/>
                      <w:marBottom w:val="0"/>
                      <w:divBdr>
                        <w:top w:val="dashed" w:sz="2" w:space="0" w:color="FFFFFF"/>
                        <w:left w:val="dashed" w:sz="2" w:space="0" w:color="FFFFFF"/>
                        <w:bottom w:val="dashed" w:sz="2" w:space="0" w:color="FFFFFF"/>
                        <w:right w:val="dashed" w:sz="2" w:space="0" w:color="FFFFFF"/>
                      </w:divBdr>
                    </w:div>
                    <w:div w:id="1446849115">
                      <w:marLeft w:val="0"/>
                      <w:marRight w:val="0"/>
                      <w:marTop w:val="0"/>
                      <w:marBottom w:val="0"/>
                      <w:divBdr>
                        <w:top w:val="dashed" w:sz="2" w:space="0" w:color="FFFFFF"/>
                        <w:left w:val="dashed" w:sz="2" w:space="0" w:color="FFFFFF"/>
                        <w:bottom w:val="dashed" w:sz="2" w:space="0" w:color="FFFFFF"/>
                        <w:right w:val="dashed" w:sz="2" w:space="0" w:color="FFFFFF"/>
                      </w:divBdr>
                      <w:divsChild>
                        <w:div w:id="2090154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554175">
                      <w:marLeft w:val="0"/>
                      <w:marRight w:val="0"/>
                      <w:marTop w:val="0"/>
                      <w:marBottom w:val="0"/>
                      <w:divBdr>
                        <w:top w:val="dashed" w:sz="2" w:space="0" w:color="FFFFFF"/>
                        <w:left w:val="dashed" w:sz="2" w:space="0" w:color="FFFFFF"/>
                        <w:bottom w:val="dashed" w:sz="2" w:space="0" w:color="FFFFFF"/>
                        <w:right w:val="dashed" w:sz="2" w:space="0" w:color="FFFFFF"/>
                      </w:divBdr>
                    </w:div>
                    <w:div w:id="647323026">
                      <w:marLeft w:val="0"/>
                      <w:marRight w:val="0"/>
                      <w:marTop w:val="0"/>
                      <w:marBottom w:val="0"/>
                      <w:divBdr>
                        <w:top w:val="dashed" w:sz="2" w:space="0" w:color="FFFFFF"/>
                        <w:left w:val="dashed" w:sz="2" w:space="0" w:color="FFFFFF"/>
                        <w:bottom w:val="dashed" w:sz="2" w:space="0" w:color="FFFFFF"/>
                        <w:right w:val="dashed" w:sz="2" w:space="0" w:color="FFFFFF"/>
                      </w:divBdr>
                      <w:divsChild>
                        <w:div w:id="1199974555">
                          <w:marLeft w:val="0"/>
                          <w:marRight w:val="0"/>
                          <w:marTop w:val="0"/>
                          <w:marBottom w:val="0"/>
                          <w:divBdr>
                            <w:top w:val="dashed" w:sz="2" w:space="0" w:color="FFFFFF"/>
                            <w:left w:val="dashed" w:sz="2" w:space="0" w:color="FFFFFF"/>
                            <w:bottom w:val="dashed" w:sz="2" w:space="0" w:color="FFFFFF"/>
                            <w:right w:val="dashed" w:sz="2" w:space="0" w:color="FFFFFF"/>
                          </w:divBdr>
                        </w:div>
                        <w:div w:id="1421410318">
                          <w:marLeft w:val="0"/>
                          <w:marRight w:val="0"/>
                          <w:marTop w:val="0"/>
                          <w:marBottom w:val="0"/>
                          <w:divBdr>
                            <w:top w:val="dashed" w:sz="2" w:space="0" w:color="FFFFFF"/>
                            <w:left w:val="dashed" w:sz="2" w:space="0" w:color="FFFFFF"/>
                            <w:bottom w:val="dashed" w:sz="2" w:space="0" w:color="FFFFFF"/>
                            <w:right w:val="dashed" w:sz="2" w:space="0" w:color="FFFFFF"/>
                          </w:divBdr>
                        </w:div>
                        <w:div w:id="390807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0662124">
                      <w:marLeft w:val="0"/>
                      <w:marRight w:val="0"/>
                      <w:marTop w:val="0"/>
                      <w:marBottom w:val="0"/>
                      <w:divBdr>
                        <w:top w:val="dashed" w:sz="2" w:space="0" w:color="FFFFFF"/>
                        <w:left w:val="dashed" w:sz="2" w:space="0" w:color="FFFFFF"/>
                        <w:bottom w:val="dashed" w:sz="2" w:space="0" w:color="FFFFFF"/>
                        <w:right w:val="dashed" w:sz="2" w:space="0" w:color="FFFFFF"/>
                      </w:divBdr>
                    </w:div>
                    <w:div w:id="1344939201">
                      <w:marLeft w:val="0"/>
                      <w:marRight w:val="0"/>
                      <w:marTop w:val="0"/>
                      <w:marBottom w:val="0"/>
                      <w:divBdr>
                        <w:top w:val="dashed" w:sz="2" w:space="0" w:color="FFFFFF"/>
                        <w:left w:val="dashed" w:sz="2" w:space="0" w:color="FFFFFF"/>
                        <w:bottom w:val="dashed" w:sz="2" w:space="0" w:color="FFFFFF"/>
                        <w:right w:val="dashed" w:sz="2" w:space="0" w:color="FFFFFF"/>
                      </w:divBdr>
                      <w:divsChild>
                        <w:div w:id="1401632920">
                          <w:marLeft w:val="0"/>
                          <w:marRight w:val="0"/>
                          <w:marTop w:val="0"/>
                          <w:marBottom w:val="0"/>
                          <w:divBdr>
                            <w:top w:val="dashed" w:sz="2" w:space="0" w:color="FFFFFF"/>
                            <w:left w:val="dashed" w:sz="2" w:space="0" w:color="FFFFFF"/>
                            <w:bottom w:val="dashed" w:sz="2" w:space="0" w:color="FFFFFF"/>
                            <w:right w:val="dashed" w:sz="2" w:space="0" w:color="FFFFFF"/>
                          </w:divBdr>
                        </w:div>
                        <w:div w:id="1102998186">
                          <w:marLeft w:val="0"/>
                          <w:marRight w:val="0"/>
                          <w:marTop w:val="0"/>
                          <w:marBottom w:val="0"/>
                          <w:divBdr>
                            <w:top w:val="dashed" w:sz="2" w:space="0" w:color="FFFFFF"/>
                            <w:left w:val="dashed" w:sz="2" w:space="0" w:color="FFFFFF"/>
                            <w:bottom w:val="dashed" w:sz="2" w:space="0" w:color="FFFFFF"/>
                            <w:right w:val="dashed" w:sz="2" w:space="0" w:color="FFFFFF"/>
                          </w:divBdr>
                        </w:div>
                        <w:div w:id="908922501">
                          <w:marLeft w:val="0"/>
                          <w:marRight w:val="0"/>
                          <w:marTop w:val="0"/>
                          <w:marBottom w:val="0"/>
                          <w:divBdr>
                            <w:top w:val="dashed" w:sz="2" w:space="0" w:color="FFFFFF"/>
                            <w:left w:val="dashed" w:sz="2" w:space="0" w:color="FFFFFF"/>
                            <w:bottom w:val="dashed" w:sz="2" w:space="0" w:color="FFFFFF"/>
                            <w:right w:val="dashed" w:sz="2" w:space="0" w:color="FFFFFF"/>
                          </w:divBdr>
                        </w:div>
                        <w:div w:id="14812507">
                          <w:marLeft w:val="0"/>
                          <w:marRight w:val="0"/>
                          <w:marTop w:val="0"/>
                          <w:marBottom w:val="0"/>
                          <w:divBdr>
                            <w:top w:val="dashed" w:sz="2" w:space="0" w:color="FFFFFF"/>
                            <w:left w:val="dashed" w:sz="2" w:space="0" w:color="FFFFFF"/>
                            <w:bottom w:val="dashed" w:sz="2" w:space="0" w:color="FFFFFF"/>
                            <w:right w:val="dashed" w:sz="2" w:space="0" w:color="FFFFFF"/>
                          </w:divBdr>
                        </w:div>
                        <w:div w:id="161042823">
                          <w:marLeft w:val="0"/>
                          <w:marRight w:val="0"/>
                          <w:marTop w:val="0"/>
                          <w:marBottom w:val="0"/>
                          <w:divBdr>
                            <w:top w:val="dashed" w:sz="2" w:space="0" w:color="FFFFFF"/>
                            <w:left w:val="dashed" w:sz="2" w:space="0" w:color="FFFFFF"/>
                            <w:bottom w:val="dashed" w:sz="2" w:space="0" w:color="FFFFFF"/>
                            <w:right w:val="dashed" w:sz="2" w:space="0" w:color="FFFFFF"/>
                          </w:divBdr>
                        </w:div>
                        <w:div w:id="956302613">
                          <w:marLeft w:val="0"/>
                          <w:marRight w:val="0"/>
                          <w:marTop w:val="0"/>
                          <w:marBottom w:val="0"/>
                          <w:divBdr>
                            <w:top w:val="dashed" w:sz="2" w:space="0" w:color="FFFFFF"/>
                            <w:left w:val="dashed" w:sz="2" w:space="0" w:color="FFFFFF"/>
                            <w:bottom w:val="dashed" w:sz="2" w:space="0" w:color="FFFFFF"/>
                            <w:right w:val="dashed" w:sz="2" w:space="0" w:color="FFFFFF"/>
                          </w:divBdr>
                        </w:div>
                        <w:div w:id="2029062578">
                          <w:marLeft w:val="0"/>
                          <w:marRight w:val="0"/>
                          <w:marTop w:val="0"/>
                          <w:marBottom w:val="0"/>
                          <w:divBdr>
                            <w:top w:val="dashed" w:sz="2" w:space="0" w:color="FFFFFF"/>
                            <w:left w:val="dashed" w:sz="2" w:space="0" w:color="FFFFFF"/>
                            <w:bottom w:val="dashed" w:sz="2" w:space="0" w:color="FFFFFF"/>
                            <w:right w:val="dashed" w:sz="2" w:space="0" w:color="FFFFFF"/>
                          </w:divBdr>
                        </w:div>
                        <w:div w:id="66924162">
                          <w:marLeft w:val="0"/>
                          <w:marRight w:val="0"/>
                          <w:marTop w:val="0"/>
                          <w:marBottom w:val="0"/>
                          <w:divBdr>
                            <w:top w:val="dashed" w:sz="2" w:space="0" w:color="FFFFFF"/>
                            <w:left w:val="dashed" w:sz="2" w:space="0" w:color="FFFFFF"/>
                            <w:bottom w:val="dashed" w:sz="2" w:space="0" w:color="FFFFFF"/>
                            <w:right w:val="dashed" w:sz="2" w:space="0" w:color="FFFFFF"/>
                          </w:divBdr>
                        </w:div>
                        <w:div w:id="1377436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960374">
                      <w:marLeft w:val="0"/>
                      <w:marRight w:val="0"/>
                      <w:marTop w:val="0"/>
                      <w:marBottom w:val="0"/>
                      <w:divBdr>
                        <w:top w:val="dashed" w:sz="2" w:space="0" w:color="FFFFFF"/>
                        <w:left w:val="dashed" w:sz="2" w:space="0" w:color="FFFFFF"/>
                        <w:bottom w:val="dashed" w:sz="2" w:space="0" w:color="FFFFFF"/>
                        <w:right w:val="dashed" w:sz="2" w:space="0" w:color="FFFFFF"/>
                      </w:divBdr>
                    </w:div>
                    <w:div w:id="239679806">
                      <w:marLeft w:val="0"/>
                      <w:marRight w:val="0"/>
                      <w:marTop w:val="0"/>
                      <w:marBottom w:val="0"/>
                      <w:divBdr>
                        <w:top w:val="dashed" w:sz="2" w:space="0" w:color="FFFFFF"/>
                        <w:left w:val="dashed" w:sz="2" w:space="0" w:color="FFFFFF"/>
                        <w:bottom w:val="dashed" w:sz="2" w:space="0" w:color="FFFFFF"/>
                        <w:right w:val="dashed" w:sz="2" w:space="0" w:color="FFFFFF"/>
                      </w:divBdr>
                      <w:divsChild>
                        <w:div w:id="1216550740">
                          <w:marLeft w:val="0"/>
                          <w:marRight w:val="0"/>
                          <w:marTop w:val="0"/>
                          <w:marBottom w:val="0"/>
                          <w:divBdr>
                            <w:top w:val="dashed" w:sz="2" w:space="0" w:color="FFFFFF"/>
                            <w:left w:val="dashed" w:sz="2" w:space="0" w:color="FFFFFF"/>
                            <w:bottom w:val="dashed" w:sz="2" w:space="0" w:color="FFFFFF"/>
                            <w:right w:val="dashed" w:sz="2" w:space="0" w:color="FFFFFF"/>
                          </w:divBdr>
                        </w:div>
                        <w:div w:id="1900940078">
                          <w:marLeft w:val="0"/>
                          <w:marRight w:val="0"/>
                          <w:marTop w:val="0"/>
                          <w:marBottom w:val="0"/>
                          <w:divBdr>
                            <w:top w:val="dashed" w:sz="2" w:space="0" w:color="FFFFFF"/>
                            <w:left w:val="dashed" w:sz="2" w:space="0" w:color="FFFFFF"/>
                            <w:bottom w:val="dashed" w:sz="2" w:space="0" w:color="FFFFFF"/>
                            <w:right w:val="dashed" w:sz="2" w:space="0" w:color="FFFFFF"/>
                          </w:divBdr>
                        </w:div>
                        <w:div w:id="1916821936">
                          <w:marLeft w:val="0"/>
                          <w:marRight w:val="0"/>
                          <w:marTop w:val="0"/>
                          <w:marBottom w:val="0"/>
                          <w:divBdr>
                            <w:top w:val="dashed" w:sz="2" w:space="0" w:color="FFFFFF"/>
                            <w:left w:val="dashed" w:sz="2" w:space="0" w:color="FFFFFF"/>
                            <w:bottom w:val="dashed" w:sz="2" w:space="0" w:color="FFFFFF"/>
                            <w:right w:val="dashed" w:sz="2" w:space="0" w:color="FFFFFF"/>
                          </w:divBdr>
                        </w:div>
                        <w:div w:id="1006254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2372208">
                      <w:marLeft w:val="0"/>
                      <w:marRight w:val="0"/>
                      <w:marTop w:val="0"/>
                      <w:marBottom w:val="0"/>
                      <w:divBdr>
                        <w:top w:val="dashed" w:sz="2" w:space="0" w:color="FFFFFF"/>
                        <w:left w:val="dashed" w:sz="2" w:space="0" w:color="FFFFFF"/>
                        <w:bottom w:val="dashed" w:sz="2" w:space="0" w:color="FFFFFF"/>
                        <w:right w:val="dashed" w:sz="2" w:space="0" w:color="FFFFFF"/>
                      </w:divBdr>
                    </w:div>
                    <w:div w:id="185944807">
                      <w:marLeft w:val="0"/>
                      <w:marRight w:val="0"/>
                      <w:marTop w:val="0"/>
                      <w:marBottom w:val="0"/>
                      <w:divBdr>
                        <w:top w:val="dashed" w:sz="2" w:space="0" w:color="FFFFFF"/>
                        <w:left w:val="dashed" w:sz="2" w:space="0" w:color="FFFFFF"/>
                        <w:bottom w:val="dashed" w:sz="2" w:space="0" w:color="FFFFFF"/>
                        <w:right w:val="dashed" w:sz="2" w:space="0" w:color="FFFFFF"/>
                      </w:divBdr>
                      <w:divsChild>
                        <w:div w:id="339821171">
                          <w:marLeft w:val="0"/>
                          <w:marRight w:val="0"/>
                          <w:marTop w:val="0"/>
                          <w:marBottom w:val="0"/>
                          <w:divBdr>
                            <w:top w:val="dashed" w:sz="2" w:space="0" w:color="FFFFFF"/>
                            <w:left w:val="dashed" w:sz="2" w:space="0" w:color="FFFFFF"/>
                            <w:bottom w:val="dashed" w:sz="2" w:space="0" w:color="FFFFFF"/>
                            <w:right w:val="dashed" w:sz="2" w:space="0" w:color="FFFFFF"/>
                          </w:divBdr>
                        </w:div>
                        <w:div w:id="1148866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172302">
                      <w:marLeft w:val="0"/>
                      <w:marRight w:val="0"/>
                      <w:marTop w:val="0"/>
                      <w:marBottom w:val="0"/>
                      <w:divBdr>
                        <w:top w:val="dashed" w:sz="2" w:space="0" w:color="FFFFFF"/>
                        <w:left w:val="dashed" w:sz="2" w:space="0" w:color="FFFFFF"/>
                        <w:bottom w:val="dashed" w:sz="2" w:space="0" w:color="FFFFFF"/>
                        <w:right w:val="dashed" w:sz="2" w:space="0" w:color="FFFFFF"/>
                      </w:divBdr>
                    </w:div>
                    <w:div w:id="1657028753">
                      <w:marLeft w:val="0"/>
                      <w:marRight w:val="0"/>
                      <w:marTop w:val="0"/>
                      <w:marBottom w:val="0"/>
                      <w:divBdr>
                        <w:top w:val="dashed" w:sz="2" w:space="0" w:color="FFFFFF"/>
                        <w:left w:val="dashed" w:sz="2" w:space="0" w:color="FFFFFF"/>
                        <w:bottom w:val="dashed" w:sz="2" w:space="0" w:color="FFFFFF"/>
                        <w:right w:val="dashed" w:sz="2" w:space="0" w:color="FFFFFF"/>
                      </w:divBdr>
                      <w:divsChild>
                        <w:div w:id="763846210">
                          <w:marLeft w:val="0"/>
                          <w:marRight w:val="0"/>
                          <w:marTop w:val="0"/>
                          <w:marBottom w:val="0"/>
                          <w:divBdr>
                            <w:top w:val="dashed" w:sz="2" w:space="0" w:color="FFFFFF"/>
                            <w:left w:val="dashed" w:sz="2" w:space="0" w:color="FFFFFF"/>
                            <w:bottom w:val="dashed" w:sz="2" w:space="0" w:color="FFFFFF"/>
                            <w:right w:val="dashed" w:sz="2" w:space="0" w:color="FFFFFF"/>
                          </w:divBdr>
                        </w:div>
                        <w:div w:id="1061825905">
                          <w:marLeft w:val="0"/>
                          <w:marRight w:val="0"/>
                          <w:marTop w:val="0"/>
                          <w:marBottom w:val="0"/>
                          <w:divBdr>
                            <w:top w:val="dashed" w:sz="2" w:space="0" w:color="FFFFFF"/>
                            <w:left w:val="dashed" w:sz="2" w:space="0" w:color="FFFFFF"/>
                            <w:bottom w:val="dashed" w:sz="2" w:space="0" w:color="FFFFFF"/>
                            <w:right w:val="dashed" w:sz="2" w:space="0" w:color="FFFFFF"/>
                          </w:divBdr>
                        </w:div>
                        <w:div w:id="1433355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739155">
                      <w:marLeft w:val="0"/>
                      <w:marRight w:val="0"/>
                      <w:marTop w:val="0"/>
                      <w:marBottom w:val="0"/>
                      <w:divBdr>
                        <w:top w:val="dashed" w:sz="2" w:space="0" w:color="FFFFFF"/>
                        <w:left w:val="dashed" w:sz="2" w:space="0" w:color="FFFFFF"/>
                        <w:bottom w:val="dashed" w:sz="2" w:space="0" w:color="FFFFFF"/>
                        <w:right w:val="dashed" w:sz="2" w:space="0" w:color="FFFFFF"/>
                      </w:divBdr>
                    </w:div>
                    <w:div w:id="1209534055">
                      <w:marLeft w:val="0"/>
                      <w:marRight w:val="0"/>
                      <w:marTop w:val="0"/>
                      <w:marBottom w:val="0"/>
                      <w:divBdr>
                        <w:top w:val="dashed" w:sz="2" w:space="0" w:color="FFFFFF"/>
                        <w:left w:val="dashed" w:sz="2" w:space="0" w:color="FFFFFF"/>
                        <w:bottom w:val="dashed" w:sz="2" w:space="0" w:color="FFFFFF"/>
                        <w:right w:val="dashed" w:sz="2" w:space="0" w:color="FFFFFF"/>
                      </w:divBdr>
                      <w:divsChild>
                        <w:div w:id="1748989952">
                          <w:marLeft w:val="0"/>
                          <w:marRight w:val="0"/>
                          <w:marTop w:val="0"/>
                          <w:marBottom w:val="0"/>
                          <w:divBdr>
                            <w:top w:val="dashed" w:sz="2" w:space="0" w:color="FFFFFF"/>
                            <w:left w:val="dashed" w:sz="2" w:space="0" w:color="FFFFFF"/>
                            <w:bottom w:val="dashed" w:sz="2" w:space="0" w:color="FFFFFF"/>
                            <w:right w:val="dashed" w:sz="2" w:space="0" w:color="FFFFFF"/>
                          </w:divBdr>
                        </w:div>
                        <w:div w:id="1297905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462846">
                      <w:marLeft w:val="0"/>
                      <w:marRight w:val="0"/>
                      <w:marTop w:val="0"/>
                      <w:marBottom w:val="0"/>
                      <w:divBdr>
                        <w:top w:val="dashed" w:sz="2" w:space="0" w:color="FFFFFF"/>
                        <w:left w:val="dashed" w:sz="2" w:space="0" w:color="FFFFFF"/>
                        <w:bottom w:val="dashed" w:sz="2" w:space="0" w:color="FFFFFF"/>
                        <w:right w:val="dashed" w:sz="2" w:space="0" w:color="FFFFFF"/>
                      </w:divBdr>
                    </w:div>
                    <w:div w:id="65081014">
                      <w:marLeft w:val="0"/>
                      <w:marRight w:val="0"/>
                      <w:marTop w:val="0"/>
                      <w:marBottom w:val="0"/>
                      <w:divBdr>
                        <w:top w:val="dashed" w:sz="2" w:space="0" w:color="FFFFFF"/>
                        <w:left w:val="dashed" w:sz="2" w:space="0" w:color="FFFFFF"/>
                        <w:bottom w:val="dashed" w:sz="2" w:space="0" w:color="FFFFFF"/>
                        <w:right w:val="dashed" w:sz="2" w:space="0" w:color="FFFFFF"/>
                      </w:divBdr>
                      <w:divsChild>
                        <w:div w:id="225342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708660">
                      <w:marLeft w:val="0"/>
                      <w:marRight w:val="0"/>
                      <w:marTop w:val="0"/>
                      <w:marBottom w:val="0"/>
                      <w:divBdr>
                        <w:top w:val="dashed" w:sz="2" w:space="0" w:color="FFFFFF"/>
                        <w:left w:val="dashed" w:sz="2" w:space="0" w:color="FFFFFF"/>
                        <w:bottom w:val="dashed" w:sz="2" w:space="0" w:color="FFFFFF"/>
                        <w:right w:val="dashed" w:sz="2" w:space="0" w:color="FFFFFF"/>
                      </w:divBdr>
                    </w:div>
                    <w:div w:id="360789317">
                      <w:marLeft w:val="0"/>
                      <w:marRight w:val="0"/>
                      <w:marTop w:val="0"/>
                      <w:marBottom w:val="0"/>
                      <w:divBdr>
                        <w:top w:val="dashed" w:sz="2" w:space="0" w:color="FFFFFF"/>
                        <w:left w:val="dashed" w:sz="2" w:space="0" w:color="FFFFFF"/>
                        <w:bottom w:val="dashed" w:sz="2" w:space="0" w:color="FFFFFF"/>
                        <w:right w:val="dashed" w:sz="2" w:space="0" w:color="FFFFFF"/>
                      </w:divBdr>
                      <w:divsChild>
                        <w:div w:id="1473019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194217">
                      <w:marLeft w:val="0"/>
                      <w:marRight w:val="0"/>
                      <w:marTop w:val="0"/>
                      <w:marBottom w:val="0"/>
                      <w:divBdr>
                        <w:top w:val="dashed" w:sz="2" w:space="0" w:color="FFFFFF"/>
                        <w:left w:val="dashed" w:sz="2" w:space="0" w:color="FFFFFF"/>
                        <w:bottom w:val="dashed" w:sz="2" w:space="0" w:color="FFFFFF"/>
                        <w:right w:val="dashed" w:sz="2" w:space="0" w:color="FFFFFF"/>
                      </w:divBdr>
                    </w:div>
                    <w:div w:id="1299457621">
                      <w:marLeft w:val="0"/>
                      <w:marRight w:val="0"/>
                      <w:marTop w:val="0"/>
                      <w:marBottom w:val="0"/>
                      <w:divBdr>
                        <w:top w:val="dashed" w:sz="2" w:space="0" w:color="FFFFFF"/>
                        <w:left w:val="dashed" w:sz="2" w:space="0" w:color="FFFFFF"/>
                        <w:bottom w:val="dashed" w:sz="2" w:space="0" w:color="FFFFFF"/>
                        <w:right w:val="dashed" w:sz="2" w:space="0" w:color="FFFFFF"/>
                      </w:divBdr>
                      <w:divsChild>
                        <w:div w:id="2131626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420760">
                      <w:marLeft w:val="0"/>
                      <w:marRight w:val="0"/>
                      <w:marTop w:val="0"/>
                      <w:marBottom w:val="0"/>
                      <w:divBdr>
                        <w:top w:val="dashed" w:sz="2" w:space="0" w:color="FFFFFF"/>
                        <w:left w:val="dashed" w:sz="2" w:space="0" w:color="FFFFFF"/>
                        <w:bottom w:val="dashed" w:sz="2" w:space="0" w:color="FFFFFF"/>
                        <w:right w:val="dashed" w:sz="2" w:space="0" w:color="FFFFFF"/>
                      </w:divBdr>
                    </w:div>
                    <w:div w:id="457069034">
                      <w:marLeft w:val="0"/>
                      <w:marRight w:val="0"/>
                      <w:marTop w:val="0"/>
                      <w:marBottom w:val="0"/>
                      <w:divBdr>
                        <w:top w:val="dashed" w:sz="2" w:space="0" w:color="FFFFFF"/>
                        <w:left w:val="dashed" w:sz="2" w:space="0" w:color="FFFFFF"/>
                        <w:bottom w:val="dashed" w:sz="2" w:space="0" w:color="FFFFFF"/>
                        <w:right w:val="dashed" w:sz="2" w:space="0" w:color="FFFFFF"/>
                      </w:divBdr>
                      <w:divsChild>
                        <w:div w:id="309406549">
                          <w:marLeft w:val="0"/>
                          <w:marRight w:val="0"/>
                          <w:marTop w:val="0"/>
                          <w:marBottom w:val="0"/>
                          <w:divBdr>
                            <w:top w:val="dashed" w:sz="2" w:space="0" w:color="FFFFFF"/>
                            <w:left w:val="dashed" w:sz="2" w:space="0" w:color="FFFFFF"/>
                            <w:bottom w:val="dashed" w:sz="2" w:space="0" w:color="FFFFFF"/>
                            <w:right w:val="dashed" w:sz="2" w:space="0" w:color="FFFFFF"/>
                          </w:divBdr>
                        </w:div>
                        <w:div w:id="2067483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4366171">
                  <w:marLeft w:val="0"/>
                  <w:marRight w:val="0"/>
                  <w:marTop w:val="0"/>
                  <w:marBottom w:val="0"/>
                  <w:divBdr>
                    <w:top w:val="dashed" w:sz="2" w:space="0" w:color="FFFFFF"/>
                    <w:left w:val="dashed" w:sz="2" w:space="0" w:color="FFFFFF"/>
                    <w:bottom w:val="dashed" w:sz="2" w:space="0" w:color="FFFFFF"/>
                    <w:right w:val="dashed" w:sz="2" w:space="0" w:color="FFFFFF"/>
                  </w:divBdr>
                </w:div>
                <w:div w:id="332344086">
                  <w:marLeft w:val="0"/>
                  <w:marRight w:val="0"/>
                  <w:marTop w:val="0"/>
                  <w:marBottom w:val="0"/>
                  <w:divBdr>
                    <w:top w:val="dashed" w:sz="2" w:space="0" w:color="FFFFFF"/>
                    <w:left w:val="dashed" w:sz="2" w:space="0" w:color="FFFFFF"/>
                    <w:bottom w:val="dashed" w:sz="2" w:space="0" w:color="FFFFFF"/>
                    <w:right w:val="dashed" w:sz="2" w:space="0" w:color="FFFFFF"/>
                  </w:divBdr>
                  <w:divsChild>
                    <w:div w:id="2141610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555237">
                  <w:marLeft w:val="0"/>
                  <w:marRight w:val="0"/>
                  <w:marTop w:val="0"/>
                  <w:marBottom w:val="0"/>
                  <w:divBdr>
                    <w:top w:val="dashed" w:sz="2" w:space="0" w:color="FFFFFF"/>
                    <w:left w:val="dashed" w:sz="2" w:space="0" w:color="FFFFFF"/>
                    <w:bottom w:val="dashed" w:sz="2" w:space="0" w:color="FFFFFF"/>
                    <w:right w:val="dashed" w:sz="2" w:space="0" w:color="FFFFFF"/>
                  </w:divBdr>
                </w:div>
                <w:div w:id="204877513">
                  <w:marLeft w:val="0"/>
                  <w:marRight w:val="0"/>
                  <w:marTop w:val="0"/>
                  <w:marBottom w:val="0"/>
                  <w:divBdr>
                    <w:top w:val="dashed" w:sz="2" w:space="0" w:color="FFFFFF"/>
                    <w:left w:val="dashed" w:sz="2" w:space="0" w:color="FFFFFF"/>
                    <w:bottom w:val="dashed" w:sz="2" w:space="0" w:color="FFFFFF"/>
                    <w:right w:val="dashed" w:sz="2" w:space="0" w:color="FFFFFF"/>
                  </w:divBdr>
                </w:div>
                <w:div w:id="2002346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dfacus\sintact%204.0\cache\Legislatie\temp3016346\12038327.htm" TargetMode="External"/><Relationship Id="rId18" Type="http://schemas.openxmlformats.org/officeDocument/2006/relationships/hyperlink" Target="file:///D:\USERS\dfacus\sintact%204.0\cache\Legislatie\temp3016346\12038325.htm" TargetMode="External"/><Relationship Id="rId26" Type="http://schemas.openxmlformats.org/officeDocument/2006/relationships/hyperlink" Target="file:///D:\USERS\dfacus\sintact%204.0\cache\Legislatie\temp3016346\00202574.htm" TargetMode="External"/><Relationship Id="rId39" Type="http://schemas.openxmlformats.org/officeDocument/2006/relationships/hyperlink" Target="file:///D:\USERS\dfacus\sintact%204.0\cache\Legislatie\temp3016346\12038325.htm" TargetMode="External"/><Relationship Id="rId21" Type="http://schemas.openxmlformats.org/officeDocument/2006/relationships/hyperlink" Target="file:///D:\USERS\dfacus\sintact%204.0\cache\Legislatie\temp3016346\12017472.htm" TargetMode="External"/><Relationship Id="rId34" Type="http://schemas.openxmlformats.org/officeDocument/2006/relationships/hyperlink" Target="file:///D:\USERS\dfacus\sintact%204.0\cache\Legislatie\temp3016346\12038326.htm" TargetMode="External"/><Relationship Id="rId42" Type="http://schemas.openxmlformats.org/officeDocument/2006/relationships/hyperlink" Target="file:///D:\USERS\dfacus\sintact%204.0\cache\Legislatie\temp3016346\12037451.htm"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file:///D:\USERS\dfacus\sintact%204.0\cache\Legislatie\temp3016346\12060143.htm" TargetMode="External"/><Relationship Id="rId2" Type="http://schemas.openxmlformats.org/officeDocument/2006/relationships/settings" Target="settings.xml"/><Relationship Id="rId16" Type="http://schemas.openxmlformats.org/officeDocument/2006/relationships/hyperlink" Target="file:///D:\USERS\dfacus\sintact%204.0\cache\Legislatie\temp3016346\12037451.htm" TargetMode="External"/><Relationship Id="rId29" Type="http://schemas.openxmlformats.org/officeDocument/2006/relationships/hyperlink" Target="file:///D:\USERS\dfacus\sintact%204.0\cache\Legislatie\temp3016346\00185357.htm" TargetMode="External"/><Relationship Id="rId11" Type="http://schemas.openxmlformats.org/officeDocument/2006/relationships/hyperlink" Target="file:///D:\USERS\dfacus\sintact%204.0\cache\Legislatie\temp3016346\12038325.htm" TargetMode="External"/><Relationship Id="rId24" Type="http://schemas.openxmlformats.org/officeDocument/2006/relationships/hyperlink" Target="file:///D:\USERS\dfacus\sintact%204.0\cache\Legislatie\temp3016346\00169129.htm" TargetMode="External"/><Relationship Id="rId32" Type="http://schemas.openxmlformats.org/officeDocument/2006/relationships/hyperlink" Target="file:///D:\USERS\dfacus\sintact%204.0\cache\Legislatie\temp3016346\12057243.htm" TargetMode="External"/><Relationship Id="rId37" Type="http://schemas.openxmlformats.org/officeDocument/2006/relationships/hyperlink" Target="file:///D:\USERS\dfacus\sintact%204.0\cache\Legislatie\temp3016346\12038325.htm" TargetMode="External"/><Relationship Id="rId40" Type="http://schemas.openxmlformats.org/officeDocument/2006/relationships/hyperlink" Target="file:///D:\USERS\dfacus\sintact%204.0\cache\Legislatie\temp3016346\12057211.htm" TargetMode="External"/><Relationship Id="rId45" Type="http://schemas.openxmlformats.org/officeDocument/2006/relationships/hyperlink" Target="file:///D:\USERS\dfacus\sintact%204.0\cache\Legislatie\temp3016346\12043232.htm" TargetMode="External"/><Relationship Id="rId5" Type="http://schemas.openxmlformats.org/officeDocument/2006/relationships/image" Target="media/image1.gif"/><Relationship Id="rId15" Type="http://schemas.openxmlformats.org/officeDocument/2006/relationships/hyperlink" Target="file:///D:\USERS\dfacus\sintact%204.0\cache\Legislatie\temp3016346\12057211.htm" TargetMode="External"/><Relationship Id="rId23" Type="http://schemas.openxmlformats.org/officeDocument/2006/relationships/hyperlink" Target="file:///D:\USERS\dfacus\sintact%204.0\cache\Legislatie\temp3016346\00176265.htm" TargetMode="External"/><Relationship Id="rId28" Type="http://schemas.openxmlformats.org/officeDocument/2006/relationships/hyperlink" Target="file:///D:\USERS\dfacus\sintact%204.0\cache\Legislatie\temp3016346\00168040.htm" TargetMode="External"/><Relationship Id="rId36" Type="http://schemas.openxmlformats.org/officeDocument/2006/relationships/hyperlink" Target="file:///D:\USERS\dfacus\sintact%204.0\cache\Legislatie\temp3016346\12038328.htm" TargetMode="External"/><Relationship Id="rId49" Type="http://schemas.openxmlformats.org/officeDocument/2006/relationships/customXml" Target="../customXml/item1.xml"/><Relationship Id="rId10" Type="http://schemas.openxmlformats.org/officeDocument/2006/relationships/hyperlink" Target="file:///D:\USERS\dfacus\sintact%204.0\cache\Legislatie\temp3016346\12057243.htm" TargetMode="External"/><Relationship Id="rId19" Type="http://schemas.openxmlformats.org/officeDocument/2006/relationships/hyperlink" Target="file:///D:\USERS\dfacus\sintact%204.0\cache\Legislatie\temp3016346\12012209.htm" TargetMode="External"/><Relationship Id="rId31" Type="http://schemas.openxmlformats.org/officeDocument/2006/relationships/hyperlink" Target="file:///D:\USERS\dfacus\sintact%204.0\cache\Legislatie\temp3016346\12057211.htm" TargetMode="External"/><Relationship Id="rId44" Type="http://schemas.openxmlformats.org/officeDocument/2006/relationships/hyperlink" Target="file:///D:\USERS\dfacus\sintact%204.0\cache\Legislatie\temp3016346\00230923.htm" TargetMode="External"/><Relationship Id="rId52" Type="http://schemas.openxmlformats.org/officeDocument/2006/relationships/customXml" Target="../customXml/item4.xml"/><Relationship Id="rId4" Type="http://schemas.openxmlformats.org/officeDocument/2006/relationships/hyperlink" Target="file:///D:\USERS\dfacus\sintact%204.0\cache\Legislatie\temp3016346\00246594.HTML" TargetMode="External"/><Relationship Id="rId9" Type="http://schemas.openxmlformats.org/officeDocument/2006/relationships/hyperlink" Target="file:///D:\USERS\dfacus\sintact%204.0\cache\Legislatie\temp3016346\12038327.htm" TargetMode="External"/><Relationship Id="rId14" Type="http://schemas.openxmlformats.org/officeDocument/2006/relationships/hyperlink" Target="file:///D:\USERS\dfacus\sintact%204.0\cache\Legislatie\temp3016346\12038328.htm" TargetMode="External"/><Relationship Id="rId22" Type="http://schemas.openxmlformats.org/officeDocument/2006/relationships/hyperlink" Target="file:///D:\USERS\dfacus\sintact%204.0\cache\Legislatie\temp3016346\00167253.htm" TargetMode="External"/><Relationship Id="rId27" Type="http://schemas.openxmlformats.org/officeDocument/2006/relationships/hyperlink" Target="file:///D:\USERS\dfacus\sintact%204.0\cache\Legislatie\temp3016346\00183322.htm" TargetMode="External"/><Relationship Id="rId30" Type="http://schemas.openxmlformats.org/officeDocument/2006/relationships/hyperlink" Target="file:///D:\USERS\dfacus\sintact%204.0\cache\Legislatie\temp3016346\12057211.htm" TargetMode="External"/><Relationship Id="rId35" Type="http://schemas.openxmlformats.org/officeDocument/2006/relationships/hyperlink" Target="file:///D:\USERS\dfacus\sintact%204.0\cache\Legislatie\temp3016346\12038327.htm" TargetMode="External"/><Relationship Id="rId43" Type="http://schemas.openxmlformats.org/officeDocument/2006/relationships/hyperlink" Target="file:///D:\USERS\dfacus\sintact%204.0\cache\Legislatie\temp3016346\00230923.htm" TargetMode="External"/><Relationship Id="rId48" Type="http://schemas.openxmlformats.org/officeDocument/2006/relationships/theme" Target="theme/theme1.xml"/><Relationship Id="rId8" Type="http://schemas.openxmlformats.org/officeDocument/2006/relationships/hyperlink" Target="file:///D:\USERS\dfacus\sintact%204.0\cache\Legislatie\temp3016346\12038325.htm" TargetMode="External"/><Relationship Id="rId51"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file:///D:\USERS\dfacus\sintact%204.0\cache\Legislatie\temp3016346\12038326.htm" TargetMode="External"/><Relationship Id="rId17" Type="http://schemas.openxmlformats.org/officeDocument/2006/relationships/hyperlink" Target="file:///D:\USERS\dfacus\sintact%204.0\cache\Legislatie\temp3016346\12040871.htm" TargetMode="External"/><Relationship Id="rId25" Type="http://schemas.openxmlformats.org/officeDocument/2006/relationships/hyperlink" Target="file:///D:\USERS\dfacus\sintact%204.0\cache\Legislatie\temp3016346\00169722.htm" TargetMode="External"/><Relationship Id="rId33" Type="http://schemas.openxmlformats.org/officeDocument/2006/relationships/hyperlink" Target="file:///D:\USERS\dfacus\sintact%204.0\cache\Legislatie\temp3016346\12038325.htm" TargetMode="External"/><Relationship Id="rId38" Type="http://schemas.openxmlformats.org/officeDocument/2006/relationships/hyperlink" Target="file:///D:\USERS\dfacus\sintact%204.0\cache\Legislatie\temp3016346\12038323.htm" TargetMode="External"/><Relationship Id="rId46" Type="http://schemas.openxmlformats.org/officeDocument/2006/relationships/hyperlink" Target="file:///D:\USERS\dfacus\sintact%204.0\cache\Legislatie\temp3016346\12040871.htm" TargetMode="External"/><Relationship Id="rId20" Type="http://schemas.openxmlformats.org/officeDocument/2006/relationships/hyperlink" Target="file:///D:\USERS\dfacus\sintact%204.0\cache\Legislatie\temp3016346\12038323.htm" TargetMode="External"/><Relationship Id="rId41" Type="http://schemas.openxmlformats.org/officeDocument/2006/relationships/hyperlink" Target="file:///D:\USERS\dfacus\sintact%204.0\cache\Legislatie\temp3016346\12037451.htm" TargetMode="External"/><Relationship Id="rId1" Type="http://schemas.openxmlformats.org/officeDocument/2006/relationships/styles" Target="styles.xml"/><Relationship Id="rId6" Type="http://schemas.openxmlformats.org/officeDocument/2006/relationships/hyperlink" Target="file:///D:\USERS\dfacus\sintact%204.0\cache\Legislatie\temp3016346\001853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RUX3NXC6MJZS-40-2941</_dlc_DocId>
    <_dlc_DocIdUrl xmlns="fba58025-0715-43fe-9148-0548809c527a">
      <Url>http://spportal/Normative/_layouts/DocIdRedir.aspx?ID=RUX3NXC6MJZS-40-2941</Url>
      <Description>RUX3NXC6MJZS-40-2941</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219165-5D52-444B-BC66-EF08BFE26892}"/>
</file>

<file path=customXml/itemProps2.xml><?xml version="1.0" encoding="utf-8"?>
<ds:datastoreItem xmlns:ds="http://schemas.openxmlformats.org/officeDocument/2006/customXml" ds:itemID="{63237D00-E7F3-4DA2-9141-89C34BF26AF0}"/>
</file>

<file path=customXml/itemProps3.xml><?xml version="1.0" encoding="utf-8"?>
<ds:datastoreItem xmlns:ds="http://schemas.openxmlformats.org/officeDocument/2006/customXml" ds:itemID="{2D8EE5B5-2F06-4168-9053-39C24D93D23F}"/>
</file>

<file path=customXml/itemProps4.xml><?xml version="1.0" encoding="utf-8"?>
<ds:datastoreItem xmlns:ds="http://schemas.openxmlformats.org/officeDocument/2006/customXml" ds:itemID="{1F9053A7-CE21-4D97-B4FF-13EEEE60F5D9}"/>
</file>

<file path=docProps/app.xml><?xml version="1.0" encoding="utf-8"?>
<Properties xmlns="http://schemas.openxmlformats.org/officeDocument/2006/extended-properties" xmlns:vt="http://schemas.openxmlformats.org/officeDocument/2006/docPropsVTypes">
  <Template>Normal</Template>
  <TotalTime>2</TotalTime>
  <Pages>5</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Elena FACUS</dc:creator>
  <cp:keywords/>
  <dc:description/>
  <cp:lastModifiedBy>Diana Elena FACUS</cp:lastModifiedBy>
  <cp:revision>2</cp:revision>
  <dcterms:created xsi:type="dcterms:W3CDTF">2023-12-08T07:08:00Z</dcterms:created>
  <dcterms:modified xsi:type="dcterms:W3CDTF">2023-12-08T07:08:00Z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34250fc5-4fd4-4125-9c4e-013044961487</vt:lpwstr>
  </property>
  <property fmtid="{D5CDD505-2E9C-101B-9397-08002B2CF9AE}" pid="3" name="ContentTypeId">
    <vt:lpwstr>0x0101002C87D5534F483741A512E40185B292C0</vt:lpwstr>
  </property>
</Properties>
</file>