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0" w:name="do"/>
      <w:r w:rsidRPr="00FB4C99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3" name="Picture 3" descr="D:\USERS\dfacus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D:\USERS\dfacus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ORDIN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. 506 din 4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decembrie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2023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privind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modificarea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alineatului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(3) al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articolului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8 din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anexa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la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Ordinul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ministrului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agriculturii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dezvoltării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rurale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. </w:t>
      </w:r>
      <w:hyperlink r:id="rId6" w:history="1">
        <w:r w:rsidRPr="00FB4C99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val="en-US"/>
          </w:rPr>
          <w:t>1.198/2018</w:t>
        </w:r>
      </w:hyperlink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aprobarea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schemei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ajutor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de stat "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Stimularea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dezvoltării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regionale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prin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realizarea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investiţii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inclusiv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sectorul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pomicol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procesarea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marketingul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produselor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agricole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vederea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obţinerii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produse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neagricole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"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>cadrul</w:t>
      </w:r>
      <w:proofErr w:type="spellEnd"/>
      <w:r w:rsidRPr="00FB4C99">
        <w:rPr>
          <w:rFonts w:ascii="Verdana" w:eastAsia="Times New Roman" w:hAnsi="Verdana" w:cs="Times New Roman"/>
          <w:b/>
          <w:bCs/>
          <w:sz w:val="26"/>
          <w:szCs w:val="26"/>
          <w:lang w:val="en-US"/>
        </w:rPr>
        <w:t xml:space="preserve"> PNDR 2014-2020</w:t>
      </w:r>
      <w:r w:rsidRPr="00FB4C99">
        <w:rPr>
          <w:rFonts w:ascii="Verdana" w:eastAsia="Times New Roman" w:hAnsi="Verdana" w:cs="Times New Roman"/>
          <w:lang w:val="en-US"/>
        </w:rPr>
        <w:br/>
      </w:r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Forma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sintetică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la data 08-Dec-2023.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Acest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act a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fost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creat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utilizand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®-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.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®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sunt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mărci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inregistrate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ale Wolters Kluwer.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" w:name="do|pa1"/>
      <w:bookmarkEnd w:id="1"/>
      <w:proofErr w:type="spellStart"/>
      <w:r w:rsidRPr="00FB4C99">
        <w:rPr>
          <w:rFonts w:ascii="Verdana" w:eastAsia="Times New Roman" w:hAnsi="Verdana" w:cs="Times New Roman"/>
          <w:lang w:val="en-US"/>
        </w:rPr>
        <w:t>Având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vedere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Referatul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aprobare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193.187 din 27.11.2023,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întocmit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către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Direcţia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generală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dezvoltare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rurală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-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Autoritate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management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Programul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Naţional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Dezvoltare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Rurală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Adresa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Consiliului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Concurenţei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. 16.751 din 23.11.2023,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2" w:name="do|pa2"/>
      <w:bookmarkEnd w:id="2"/>
      <w:proofErr w:type="spellStart"/>
      <w:r w:rsidRPr="00FB4C99">
        <w:rPr>
          <w:rFonts w:ascii="Verdana" w:eastAsia="Times New Roman" w:hAnsi="Verdana" w:cs="Times New Roman"/>
          <w:lang w:val="en-US"/>
        </w:rPr>
        <w:t>ţinând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seama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prevederile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: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3" w:name="do|pa3"/>
      <w:bookmarkEnd w:id="3"/>
      <w:r w:rsidRPr="00FB4C99">
        <w:rPr>
          <w:rFonts w:ascii="Verdana" w:eastAsia="Times New Roman" w:hAnsi="Verdana" w:cs="Times New Roman"/>
          <w:lang w:val="en-US"/>
        </w:rPr>
        <w:t xml:space="preserve">-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Regulamentului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(UE)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7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2.220/2020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al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Parlamentului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European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al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Consiliului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din 23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decembrie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2020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stabilire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anumitor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dispoziţii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tranzitorii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privind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sprijinul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acordat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din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Fondul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european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agricol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dezvoltare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rurală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(FEADR)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din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Fondul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european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garantare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agricolă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(FEGA)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anii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2021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2022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Regulamentelor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(UE)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8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1.305/2013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, (UE)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9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1.306/2013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(UE)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0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1.307/2013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ceea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priveşte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resursele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aplicarea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regulamentelor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respective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anii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2021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2022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Regulamentului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(UE)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1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1.308/2013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ceea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priveşte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resursele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repartizarea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unui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astfel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sprijin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anii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2021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2022,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ulterioare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;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4" w:name="do|pa4"/>
      <w:bookmarkEnd w:id="4"/>
      <w:r w:rsidRPr="00FB4C99">
        <w:rPr>
          <w:rFonts w:ascii="Verdana" w:eastAsia="Times New Roman" w:hAnsi="Verdana" w:cs="Times New Roman"/>
          <w:lang w:val="en-US"/>
        </w:rPr>
        <w:t xml:space="preserve">-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Regulamentului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(UE)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2" w:tooltip="de declarare a anumitor categorii de ajutoare compatibile cu piaţa internă în aplicarea articolelor 107 şi 108 din tratat (act publicat in Jurnalul Oficial 187L)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651/2014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al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Comisiei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din 17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iunie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2014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declarare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anumitor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categorii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ajutoare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compatibile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piaţa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internă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aplicarea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articolelor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107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108 din </w:t>
      </w:r>
      <w:hyperlink r:id="rId13" w:history="1">
        <w:proofErr w:type="spellStart"/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Tratat</w:t>
        </w:r>
        <w:proofErr w:type="spellEnd"/>
      </w:hyperlink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astfel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cum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fost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modificat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Regulamentul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(UE) </w:t>
      </w:r>
      <w:hyperlink r:id="rId14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2017/1.084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al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Comisiei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din 14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iunie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2017,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ulterioare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;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5" w:name="do|pa5"/>
      <w:bookmarkEnd w:id="5"/>
      <w:r w:rsidRPr="00FB4C99">
        <w:rPr>
          <w:rFonts w:ascii="Verdana" w:eastAsia="Times New Roman" w:hAnsi="Verdana" w:cs="Times New Roman"/>
          <w:lang w:val="en-US"/>
        </w:rPr>
        <w:t xml:space="preserve">-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Programului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Naţional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Dezvoltare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Rurală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2014-2020,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aprobat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Decizia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punere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aplicare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Comisiei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Europene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C (2015) 3.508 din 26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mai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2015,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completările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ulterioare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;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6" w:name="do|pa6"/>
      <w:bookmarkEnd w:id="6"/>
      <w:r w:rsidRPr="00FB4C99">
        <w:rPr>
          <w:rFonts w:ascii="Verdana" w:eastAsia="Times New Roman" w:hAnsi="Verdana" w:cs="Times New Roman"/>
          <w:lang w:val="en-US"/>
        </w:rPr>
        <w:t xml:space="preserve">-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Ordonanţei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urgenţă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Guvernului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5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77/2014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privind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procedurile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naţionale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domeniul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ajutorului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stat,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precum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completarea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Legii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concurenţei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6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21/1996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aprobată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completări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Legea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7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20/2015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,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completările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ulterioare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,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7" w:name="do|pa7"/>
      <w:bookmarkEnd w:id="7"/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temeiul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dispoziţiilor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: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8" w:name="do|pa8"/>
      <w:bookmarkEnd w:id="8"/>
      <w:r w:rsidRPr="00FB4C99">
        <w:rPr>
          <w:rFonts w:ascii="Verdana" w:eastAsia="Times New Roman" w:hAnsi="Verdana" w:cs="Times New Roman"/>
          <w:lang w:val="en-US"/>
        </w:rPr>
        <w:t xml:space="preserve">- art. 57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alin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(1), (4)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(5) din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Ordonanţa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urgenţă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Guvernului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8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57/2019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privind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Codul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administrativ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completările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ulterioare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;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9" w:name="do|pa9"/>
      <w:bookmarkEnd w:id="9"/>
      <w:r w:rsidRPr="00FB4C99">
        <w:rPr>
          <w:rFonts w:ascii="Verdana" w:eastAsia="Times New Roman" w:hAnsi="Verdana" w:cs="Times New Roman"/>
          <w:lang w:val="en-US"/>
        </w:rPr>
        <w:t xml:space="preserve">- art. 9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alin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(5)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(6) din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Hotărârea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Guvernului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19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30/2017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privind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organizarea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funcţionarea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Ministerului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Agriculturii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Dezvoltării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Rurale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precum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art. 6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alin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(6) din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Hotărârea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Guvernului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20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1.186/2014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privind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organizarea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funcţionarea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Autorităţii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Administrarea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Sistemului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Naţional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Antigrindină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Creştere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Precipitaţiilor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completările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ulterioare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,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0" w:name="do|pa10"/>
      <w:bookmarkEnd w:id="10"/>
      <w:proofErr w:type="spellStart"/>
      <w:r w:rsidRPr="00FB4C99">
        <w:rPr>
          <w:rFonts w:ascii="Verdana" w:eastAsia="Times New Roman" w:hAnsi="Verdana" w:cs="Times New Roman"/>
          <w:b/>
          <w:bCs/>
          <w:lang w:val="en-US"/>
        </w:rPr>
        <w:t>ministrul</w:t>
      </w:r>
      <w:proofErr w:type="spellEnd"/>
      <w:r w:rsidRPr="00FB4C99">
        <w:rPr>
          <w:rFonts w:ascii="Verdana" w:eastAsia="Times New Roman" w:hAnsi="Verdana" w:cs="Times New Roman"/>
          <w:b/>
          <w:bCs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lang w:val="en-US"/>
        </w:rPr>
        <w:t>agriculturii</w:t>
      </w:r>
      <w:proofErr w:type="spellEnd"/>
      <w:r w:rsidRPr="00FB4C99">
        <w:rPr>
          <w:rFonts w:ascii="Verdana" w:eastAsia="Times New Roman" w:hAnsi="Verdana" w:cs="Times New Roman"/>
          <w:b/>
          <w:bCs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b/>
          <w:bCs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lang w:val="en-US"/>
        </w:rPr>
        <w:t>dezvoltării</w:t>
      </w:r>
      <w:proofErr w:type="spellEnd"/>
      <w:r w:rsidRPr="00FB4C99">
        <w:rPr>
          <w:rFonts w:ascii="Verdana" w:eastAsia="Times New Roman" w:hAnsi="Verdana" w:cs="Times New Roman"/>
          <w:b/>
          <w:bCs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b/>
          <w:bCs/>
          <w:lang w:val="en-US"/>
        </w:rPr>
        <w:t>rurale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emite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prezentul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ordin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.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1" w:name="do|arI"/>
      <w:r w:rsidRPr="00FB4C99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2" name="Picture 2" descr="D:\USERS\dfacus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_i" descr="D:\USERS\dfacus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  <w:r w:rsidRPr="00FB4C99">
        <w:rPr>
          <w:rFonts w:ascii="Verdana" w:eastAsia="Times New Roman" w:hAnsi="Verdana" w:cs="Times New Roman"/>
          <w:b/>
          <w:bCs/>
          <w:color w:val="0000AF"/>
          <w:lang w:val="en-US"/>
        </w:rPr>
        <w:t>Art. I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2" w:name="do|arI|pa1"/>
      <w:bookmarkEnd w:id="12"/>
      <w:r w:rsidRPr="00FB4C99">
        <w:rPr>
          <w:rFonts w:ascii="Verdana" w:eastAsia="Times New Roman" w:hAnsi="Verdana" w:cs="Times New Roman"/>
          <w:lang w:val="en-US"/>
        </w:rPr>
        <w:t xml:space="preserve">-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Alineatul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(3) al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articolului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8 din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anexa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la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Ordinul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ministrului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agriculturii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dezvoltării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rurale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</w:t>
      </w:r>
      <w:hyperlink r:id="rId21" w:history="1">
        <w:r w:rsidRPr="00FB4C99">
          <w:rPr>
            <w:rFonts w:ascii="Verdana" w:eastAsia="Times New Roman" w:hAnsi="Verdana" w:cs="Times New Roman"/>
            <w:b/>
            <w:bCs/>
            <w:color w:val="333399"/>
            <w:u w:val="single"/>
            <w:lang w:val="en-US"/>
          </w:rPr>
          <w:t>1.198/2018</w:t>
        </w:r>
      </w:hyperlink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aprobarea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schemei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ajutor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stat "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Stimularea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lastRenderedPageBreak/>
        <w:t>dezvoltării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regionale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realizarea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investiţii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inclusiv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sectorul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pomicol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pentru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procesarea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marketingul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produselor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agricole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vederea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obţinerii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produse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neagricole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"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cadrul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PNDR 2014-2020,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publicat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Monitorul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Oficial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al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României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Partea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I,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. 505 din 20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iunie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2018,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ulterioare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se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modifică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va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avea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următorul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cuprins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>: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3" w:name="do|arI|pa2"/>
      <w:bookmarkEnd w:id="13"/>
      <w:r w:rsidRPr="00FB4C99">
        <w:rPr>
          <w:rFonts w:ascii="Verdana" w:eastAsia="Times New Roman" w:hAnsi="Verdana" w:cs="Times New Roman"/>
          <w:lang w:val="en-US"/>
        </w:rPr>
        <w:t xml:space="preserve">"(3) Plata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efectivă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ajutorului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se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efectuează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eşalonat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tranşe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conforme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etapelor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execuţie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urma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prezentării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către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beneficiar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cererilor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plată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documentelor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justificative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de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plată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prevăzute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procedurile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specifice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ale AFIR. Plata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ajutorului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către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beneficiarii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schemei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se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poate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face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până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la 31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decembrie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2025."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4" w:name="do|arII"/>
      <w:r w:rsidRPr="00FB4C99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" name="Picture 1" descr="D:\USERS\dfacus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_i" descr="D:\USERS\dfacus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FB4C99">
        <w:rPr>
          <w:rFonts w:ascii="Verdana" w:eastAsia="Times New Roman" w:hAnsi="Verdana" w:cs="Times New Roman"/>
          <w:b/>
          <w:bCs/>
          <w:color w:val="0000AF"/>
          <w:lang w:val="en-US"/>
        </w:rPr>
        <w:t>Art. II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5" w:name="do|arII|pa1"/>
      <w:bookmarkEnd w:id="15"/>
      <w:proofErr w:type="spellStart"/>
      <w:r w:rsidRPr="00FB4C99">
        <w:rPr>
          <w:rFonts w:ascii="Verdana" w:eastAsia="Times New Roman" w:hAnsi="Verdana" w:cs="Times New Roman"/>
          <w:lang w:val="en-US"/>
        </w:rPr>
        <w:t>Prezentul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ordin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se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publică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Monitorul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Oficial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al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României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,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Partea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I.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6" w:name="do|pa11"/>
      <w:bookmarkEnd w:id="16"/>
      <w:r w:rsidRPr="00FB4C99">
        <w:rPr>
          <w:rFonts w:ascii="Verdana" w:eastAsia="Times New Roman" w:hAnsi="Verdana" w:cs="Times New Roman"/>
          <w:lang w:val="en-US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FB4C99" w:rsidRPr="00FB4C99" w:rsidTr="00FB4C99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FB4C99" w:rsidRPr="00FB4C99" w:rsidRDefault="00FB4C99" w:rsidP="00FB4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bookmarkStart w:id="17" w:name="do|pa12"/>
            <w:bookmarkEnd w:id="17"/>
            <w:proofErr w:type="spellStart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Ministrul</w:t>
            </w:r>
            <w:proofErr w:type="spellEnd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agriculturii</w:t>
            </w:r>
            <w:proofErr w:type="spellEnd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dezvoltării</w:t>
            </w:r>
            <w:proofErr w:type="spellEnd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rurale</w:t>
            </w:r>
            <w:proofErr w:type="spellEnd"/>
            <w:r w:rsidRPr="00FB4C9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,</w:t>
            </w:r>
          </w:p>
          <w:p w:rsidR="00FB4C99" w:rsidRPr="00FB4C99" w:rsidRDefault="00FB4C99" w:rsidP="00FB4C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FB4C9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Florin-</w:t>
            </w:r>
            <w:proofErr w:type="spellStart"/>
            <w:r w:rsidRPr="00FB4C9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Ionuţ</w:t>
            </w:r>
            <w:proofErr w:type="spellEnd"/>
            <w:r w:rsidRPr="00FB4C9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C9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/>
              </w:rPr>
              <w:t>Barbu</w:t>
            </w:r>
            <w:proofErr w:type="spellEnd"/>
          </w:p>
        </w:tc>
      </w:tr>
    </w:tbl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bookmarkStart w:id="18" w:name="do|pa13"/>
      <w:bookmarkEnd w:id="18"/>
      <w:proofErr w:type="spellStart"/>
      <w:r w:rsidRPr="00FB4C99">
        <w:rPr>
          <w:rFonts w:ascii="Verdana" w:eastAsia="Times New Roman" w:hAnsi="Verdana" w:cs="Times New Roman"/>
          <w:lang w:val="en-US"/>
        </w:rPr>
        <w:t>Publicat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în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Monitorul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Oficial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cu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numărul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1101 din data de 7 </w:t>
      </w:r>
      <w:proofErr w:type="spellStart"/>
      <w:r w:rsidRPr="00FB4C99">
        <w:rPr>
          <w:rFonts w:ascii="Verdana" w:eastAsia="Times New Roman" w:hAnsi="Verdana" w:cs="Times New Roman"/>
          <w:lang w:val="en-US"/>
        </w:rPr>
        <w:t>decembrie</w:t>
      </w:r>
      <w:proofErr w:type="spellEnd"/>
      <w:r w:rsidRPr="00FB4C99">
        <w:rPr>
          <w:rFonts w:ascii="Verdana" w:eastAsia="Times New Roman" w:hAnsi="Verdana" w:cs="Times New Roman"/>
          <w:lang w:val="en-US"/>
        </w:rPr>
        <w:t xml:space="preserve"> 2023</w:t>
      </w:r>
    </w:p>
    <w:p w:rsidR="00FB4C99" w:rsidRPr="00FB4C99" w:rsidRDefault="00FB4C99" w:rsidP="00FB4C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val="en-US"/>
        </w:rPr>
      </w:pPr>
      <w:r w:rsidRPr="00FB4C99">
        <w:rPr>
          <w:rFonts w:ascii="Verdana" w:eastAsia="Times New Roman" w:hAnsi="Verdana" w:cs="Times New Roman"/>
          <w:lang w:val="en-US"/>
        </w:rPr>
        <w:br/>
      </w:r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Forma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sintetică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la data 08-Dec-2023.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Acest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act a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fost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creat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utilizand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®-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.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SintAct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®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şi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tehnologia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Acte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Sintetice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sunt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mărci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</w:t>
      </w:r>
      <w:proofErr w:type="spellStart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>inregistrate</w:t>
      </w:r>
      <w:proofErr w:type="spellEnd"/>
      <w:r w:rsidRPr="00FB4C99">
        <w:rPr>
          <w:rFonts w:ascii="Verdana" w:eastAsia="Times New Roman" w:hAnsi="Verdana" w:cs="Times New Roman"/>
          <w:sz w:val="15"/>
          <w:szCs w:val="15"/>
          <w:lang w:val="en-US"/>
        </w:rPr>
        <w:t xml:space="preserve"> ale Wolters Kluwer.</w:t>
      </w:r>
    </w:p>
    <w:p w:rsidR="006F0CA2" w:rsidRDefault="006F0CA2">
      <w:bookmarkStart w:id="19" w:name="_GoBack"/>
      <w:bookmarkEnd w:id="19"/>
    </w:p>
    <w:sectPr w:rsidR="006F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F7"/>
    <w:rsid w:val="00494BF7"/>
    <w:rsid w:val="006E6C89"/>
    <w:rsid w:val="006F0CA2"/>
    <w:rsid w:val="00786849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652C7-9385-42AC-9653-C793A10C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C99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FB4C99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FB4C99"/>
  </w:style>
  <w:style w:type="character" w:customStyle="1" w:styleId="ar1">
    <w:name w:val="ar1"/>
    <w:basedOn w:val="DefaultParagraphFont"/>
    <w:rsid w:val="00FB4C99"/>
    <w:rPr>
      <w:b/>
      <w:bCs/>
      <w:color w:val="0000A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6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415137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691437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99604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049519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359829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043389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16859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58648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85244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0931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852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12417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63446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29673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9184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30051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19415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372690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364168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49431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77854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dfacus\sintact%204.0\cache\Legislatie\temp4655092\12038325.htm" TargetMode="External"/><Relationship Id="rId13" Type="http://schemas.openxmlformats.org/officeDocument/2006/relationships/hyperlink" Target="file:///D:\USERS\dfacus\sintact%204.0\cache\Legislatie\temp4655092\12040871.htm" TargetMode="External"/><Relationship Id="rId18" Type="http://schemas.openxmlformats.org/officeDocument/2006/relationships/hyperlink" Target="file:///D:\USERS\dfacus\sintact%204.0\cache\Legislatie\temp4655092\00202574.htm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file:///D:\USERS\dfacus\sintact%204.0\cache\Legislatie\temp4655092\00194219.htm" TargetMode="External"/><Relationship Id="rId7" Type="http://schemas.openxmlformats.org/officeDocument/2006/relationships/hyperlink" Target="file:///D:\USERS\dfacus\sintact%204.0\cache\Legislatie\temp4655092\12057243.htm" TargetMode="External"/><Relationship Id="rId12" Type="http://schemas.openxmlformats.org/officeDocument/2006/relationships/hyperlink" Target="file:///D:\USERS\dfacus\sintact%204.0\cache\Legislatie\temp4655092\12039335.htm" TargetMode="External"/><Relationship Id="rId17" Type="http://schemas.openxmlformats.org/officeDocument/2006/relationships/hyperlink" Target="file:///D:\USERS\dfacus\sintact%204.0\cache\Legislatie\temp4655092\00169129.htm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file:///D:\USERS\dfacus\sintact%204.0\cache\Legislatie\temp4655092\00176265.htm" TargetMode="External"/><Relationship Id="rId20" Type="http://schemas.openxmlformats.org/officeDocument/2006/relationships/hyperlink" Target="file:///D:\USERS\dfacus\sintact%204.0\cache\Legislatie\temp4655092\00168040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USERS\dfacus\sintact%204.0\cache\Legislatie\temp4655092\00194219.htm" TargetMode="External"/><Relationship Id="rId11" Type="http://schemas.openxmlformats.org/officeDocument/2006/relationships/hyperlink" Target="file:///D:\USERS\dfacus\sintact%204.0\cache\Legislatie\temp4655092\12038328.htm" TargetMode="External"/><Relationship Id="rId24" Type="http://schemas.openxmlformats.org/officeDocument/2006/relationships/customXml" Target="../customXml/item1.xml"/><Relationship Id="rId5" Type="http://schemas.openxmlformats.org/officeDocument/2006/relationships/image" Target="media/image1.gif"/><Relationship Id="rId15" Type="http://schemas.openxmlformats.org/officeDocument/2006/relationships/hyperlink" Target="file:///D:\USERS\dfacus\sintact%204.0\cache\Legislatie\temp4655092\00167253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D:\USERS\dfacus\sintact%204.0\cache\Legislatie\temp4655092\12038327.htm" TargetMode="External"/><Relationship Id="rId19" Type="http://schemas.openxmlformats.org/officeDocument/2006/relationships/hyperlink" Target="file:///D:\USERS\dfacus\sintact%204.0\cache\Legislatie\temp4655092\00183322.htm" TargetMode="External"/><Relationship Id="rId4" Type="http://schemas.openxmlformats.org/officeDocument/2006/relationships/hyperlink" Target="file:///D:\USERS\dfacus\sintact%204.0\cache\Legislatie\temp4655092\00246595.HTML" TargetMode="External"/><Relationship Id="rId9" Type="http://schemas.openxmlformats.org/officeDocument/2006/relationships/hyperlink" Target="file:///D:\USERS\dfacus\sintact%204.0\cache\Legislatie\temp4655092\12038326.htm" TargetMode="External"/><Relationship Id="rId14" Type="http://schemas.openxmlformats.org/officeDocument/2006/relationships/hyperlink" Target="file:///D:\USERS\dfacus\sintact%204.0\cache\Legislatie\temp4655092\12048214.ht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D5534F483741A512E40185B292C0" ma:contentTypeVersion="1" ma:contentTypeDescription="Creați un document nou." ma:contentTypeScope="" ma:versionID="93d3a226b5fb0b15ff32dc33d1522496">
  <xsd:schema xmlns:xsd="http://www.w3.org/2001/XMLSchema" xmlns:xs="http://www.w3.org/2001/XMLSchema" xmlns:p="http://schemas.microsoft.com/office/2006/metadata/properties" xmlns:ns1="http://schemas.microsoft.com/sharepoint/v3" xmlns:ns2="fba58025-0715-43fe-9148-0548809c527a" targetNamespace="http://schemas.microsoft.com/office/2006/metadata/properties" ma:root="true" ma:fieldsID="2b38a18f4c10fc24f96ee083c05490d8" ns1:_="" ns2:_="">
    <xsd:import namespace="http://schemas.microsoft.com/sharepoint/v3"/>
    <xsd:import namespace="fba58025-0715-43fe-9148-0548809c52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8025-0715-43fe-9148-0548809c52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a58025-0715-43fe-9148-0548809c527a">RUX3NXC6MJZS-40-2942</_dlc_DocId>
    <_dlc_DocIdUrl xmlns="fba58025-0715-43fe-9148-0548809c527a">
      <Url>http://spportal/Normative/_layouts/DocIdRedir.aspx?ID=RUX3NXC6MJZS-40-2942</Url>
      <Description>RUX3NXC6MJZS-40-2942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F4E050-5433-4511-A14F-A342F389A590}"/>
</file>

<file path=customXml/itemProps2.xml><?xml version="1.0" encoding="utf-8"?>
<ds:datastoreItem xmlns:ds="http://schemas.openxmlformats.org/officeDocument/2006/customXml" ds:itemID="{9DD8C343-4B51-4343-99BD-67665A83E7B0}"/>
</file>

<file path=customXml/itemProps3.xml><?xml version="1.0" encoding="utf-8"?>
<ds:datastoreItem xmlns:ds="http://schemas.openxmlformats.org/officeDocument/2006/customXml" ds:itemID="{14EFB9A5-9BBA-424B-A9CE-2167A79D1DC5}"/>
</file>

<file path=customXml/itemProps4.xml><?xml version="1.0" encoding="utf-8"?>
<ds:datastoreItem xmlns:ds="http://schemas.openxmlformats.org/officeDocument/2006/customXml" ds:itemID="{1AF38C17-FF44-497A-8197-7EDC241B8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Elena FACUS</dc:creator>
  <cp:keywords/>
  <dc:description/>
  <cp:lastModifiedBy>Diana Elena FACUS</cp:lastModifiedBy>
  <cp:revision>2</cp:revision>
  <dcterms:created xsi:type="dcterms:W3CDTF">2023-12-08T07:11:00Z</dcterms:created>
  <dcterms:modified xsi:type="dcterms:W3CDTF">2023-12-08T07:11:00Z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c05e2e80-75db-4a39-8319-a3e131602d89</vt:lpwstr>
  </property>
  <property fmtid="{D5CDD505-2E9C-101B-9397-08002B2CF9AE}" pid="3" name="ContentTypeId">
    <vt:lpwstr>0x0101002C87D5534F483741A512E40185B292C0</vt:lpwstr>
  </property>
</Properties>
</file>