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767F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"/>
      <w:r w:rsidRPr="001706E8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AC0172F" wp14:editId="16464D8E">
            <wp:extent cx="92075" cy="92075"/>
            <wp:effectExtent l="0" t="0" r="3175" b="3175"/>
            <wp:docPr id="7" name="do|_i" descr="D:\USERS\alaza\sintact 4.0\cache\Legislatie\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D:\USERS\alaza\sintact 4.0\cache\Legislatie\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ORDIN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nr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. 57 din 10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februarie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2023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privind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aprobarea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modelelor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cererilor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plată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pentru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intervenţia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DR-06 -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Bunăstarea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animalelor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din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cadrul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>Planului</w:t>
      </w:r>
      <w:proofErr w:type="spellEnd"/>
      <w:r w:rsidRPr="001706E8">
        <w:rPr>
          <w:rFonts w:ascii="Verdana" w:eastAsia="Times New Roman" w:hAnsi="Verdana" w:cs="Times New Roman"/>
          <w:b/>
          <w:bCs/>
          <w:sz w:val="26"/>
          <w:szCs w:val="26"/>
        </w:rPr>
        <w:t xml:space="preserve"> strategic PAC 2023-2027</w:t>
      </w:r>
    </w:p>
    <w:p w14:paraId="5BA5E3A4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pa1"/>
      <w:bookmarkEnd w:id="1"/>
      <w:proofErr w:type="spellStart"/>
      <w:r w:rsidRPr="001706E8">
        <w:rPr>
          <w:rFonts w:ascii="Verdana" w:eastAsia="Times New Roman" w:hAnsi="Verdana" w:cs="Times New Roman"/>
        </w:rPr>
        <w:t>Având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vedere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Referatul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aprobare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4.488</w:t>
      </w:r>
      <w:proofErr w:type="gramEnd"/>
      <w:r w:rsidRPr="001706E8">
        <w:rPr>
          <w:rFonts w:ascii="Verdana" w:eastAsia="Times New Roman" w:hAnsi="Verdana" w:cs="Times New Roman"/>
        </w:rPr>
        <w:t xml:space="preserve"> din 9.02.2023 al </w:t>
      </w:r>
      <w:proofErr w:type="spellStart"/>
      <w:r w:rsidRPr="001706E8">
        <w:rPr>
          <w:rFonts w:ascii="Verdana" w:eastAsia="Times New Roman" w:hAnsi="Verdana" w:cs="Times New Roman"/>
        </w:rPr>
        <w:t>Agenţiei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Plăţi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Intervenţie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Agricultură</w:t>
      </w:r>
      <w:proofErr w:type="spellEnd"/>
      <w:r w:rsidRPr="001706E8">
        <w:rPr>
          <w:rFonts w:ascii="Verdana" w:eastAsia="Times New Roman" w:hAnsi="Verdana" w:cs="Times New Roman"/>
        </w:rPr>
        <w:t>,</w:t>
      </w:r>
    </w:p>
    <w:p w14:paraId="061AEE03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pa2"/>
      <w:bookmarkEnd w:id="2"/>
      <w:proofErr w:type="spellStart"/>
      <w:proofErr w:type="gramStart"/>
      <w:r w:rsidRPr="001706E8">
        <w:rPr>
          <w:rFonts w:ascii="Verdana" w:eastAsia="Times New Roman" w:hAnsi="Verdana" w:cs="Times New Roman"/>
        </w:rPr>
        <w:t>ţinând</w:t>
      </w:r>
      <w:proofErr w:type="spellEnd"/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seama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prevederile</w:t>
      </w:r>
      <w:proofErr w:type="spellEnd"/>
      <w:r w:rsidRPr="001706E8">
        <w:rPr>
          <w:rFonts w:ascii="Verdana" w:eastAsia="Times New Roman" w:hAnsi="Verdana" w:cs="Times New Roman"/>
        </w:rPr>
        <w:t>:</w:t>
      </w:r>
    </w:p>
    <w:p w14:paraId="52299DFD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pa3"/>
      <w:bookmarkEnd w:id="3"/>
      <w:proofErr w:type="gramStart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Regulamentului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hyperlink r:id="rId10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2021/2.115</w:t>
        </w:r>
      </w:hyperlink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Parlamentului</w:t>
      </w:r>
      <w:proofErr w:type="spellEnd"/>
      <w:r w:rsidRPr="001706E8">
        <w:rPr>
          <w:rFonts w:ascii="Verdana" w:eastAsia="Times New Roman" w:hAnsi="Verdana" w:cs="Times New Roman"/>
        </w:rPr>
        <w:t xml:space="preserve"> European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Consiliului</w:t>
      </w:r>
      <w:proofErr w:type="spellEnd"/>
      <w:r w:rsidRPr="001706E8">
        <w:rPr>
          <w:rFonts w:ascii="Verdana" w:eastAsia="Times New Roman" w:hAnsi="Verdana" w:cs="Times New Roman"/>
        </w:rPr>
        <w:t xml:space="preserve"> din 2 </w:t>
      </w:r>
      <w:proofErr w:type="spellStart"/>
      <w:r w:rsidRPr="001706E8">
        <w:rPr>
          <w:rFonts w:ascii="Verdana" w:eastAsia="Times New Roman" w:hAnsi="Verdana" w:cs="Times New Roman"/>
        </w:rPr>
        <w:t>decembrie</w:t>
      </w:r>
      <w:proofErr w:type="spellEnd"/>
      <w:r w:rsidRPr="001706E8">
        <w:rPr>
          <w:rFonts w:ascii="Verdana" w:eastAsia="Times New Roman" w:hAnsi="Verdana" w:cs="Times New Roman"/>
        </w:rPr>
        <w:t xml:space="preserve"> 2021 de </w:t>
      </w:r>
      <w:proofErr w:type="spellStart"/>
      <w:r w:rsidRPr="001706E8">
        <w:rPr>
          <w:rFonts w:ascii="Verdana" w:eastAsia="Times New Roman" w:hAnsi="Verdana" w:cs="Times New Roman"/>
        </w:rPr>
        <w:t>stabilire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normelor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sprijinul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planurile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strategice</w:t>
      </w:r>
      <w:proofErr w:type="spellEnd"/>
      <w:r w:rsidRPr="001706E8">
        <w:rPr>
          <w:rFonts w:ascii="Verdana" w:eastAsia="Times New Roman" w:hAnsi="Verdana" w:cs="Times New Roman"/>
        </w:rPr>
        <w:t xml:space="preserve"> care </w:t>
      </w:r>
      <w:proofErr w:type="spellStart"/>
      <w:r w:rsidRPr="001706E8">
        <w:rPr>
          <w:rFonts w:ascii="Verdana" w:eastAsia="Times New Roman" w:hAnsi="Verdana" w:cs="Times New Roman"/>
        </w:rPr>
        <w:t>urmează</w:t>
      </w:r>
      <w:proofErr w:type="spellEnd"/>
      <w:r w:rsidRPr="001706E8">
        <w:rPr>
          <w:rFonts w:ascii="Verdana" w:eastAsia="Times New Roman" w:hAnsi="Verdana" w:cs="Times New Roman"/>
        </w:rPr>
        <w:t xml:space="preserve"> a fi elaborate de </w:t>
      </w:r>
      <w:proofErr w:type="spellStart"/>
      <w:r w:rsidRPr="001706E8">
        <w:rPr>
          <w:rFonts w:ascii="Verdana" w:eastAsia="Times New Roman" w:hAnsi="Verdana" w:cs="Times New Roman"/>
        </w:rPr>
        <w:t>statele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membre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cadrul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politicii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agricole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comune</w:t>
      </w:r>
      <w:proofErr w:type="spellEnd"/>
      <w:r w:rsidRPr="001706E8">
        <w:rPr>
          <w:rFonts w:ascii="Verdana" w:eastAsia="Times New Roman" w:hAnsi="Verdana" w:cs="Times New Roman"/>
        </w:rPr>
        <w:t xml:space="preserve"> (</w:t>
      </w:r>
      <w:proofErr w:type="spellStart"/>
      <w:r w:rsidRPr="001706E8">
        <w:rPr>
          <w:rFonts w:ascii="Verdana" w:eastAsia="Times New Roman" w:hAnsi="Verdana" w:cs="Times New Roman"/>
        </w:rPr>
        <w:t>planurile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strategice</w:t>
      </w:r>
      <w:proofErr w:type="spellEnd"/>
      <w:r w:rsidRPr="001706E8">
        <w:rPr>
          <w:rFonts w:ascii="Verdana" w:eastAsia="Times New Roman" w:hAnsi="Verdana" w:cs="Times New Roman"/>
        </w:rPr>
        <w:t xml:space="preserve"> PAC)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finanţate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Fondul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european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garantare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agricolă</w:t>
      </w:r>
      <w:proofErr w:type="spellEnd"/>
      <w:r w:rsidRPr="001706E8">
        <w:rPr>
          <w:rFonts w:ascii="Verdana" w:eastAsia="Times New Roman" w:hAnsi="Verdana" w:cs="Times New Roman"/>
        </w:rPr>
        <w:t xml:space="preserve"> (FEGA)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Fondul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european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agricol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dezvoltare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rurală</w:t>
      </w:r>
      <w:proofErr w:type="spellEnd"/>
      <w:r w:rsidRPr="001706E8">
        <w:rPr>
          <w:rFonts w:ascii="Verdana" w:eastAsia="Times New Roman" w:hAnsi="Verdana" w:cs="Times New Roman"/>
        </w:rPr>
        <w:t xml:space="preserve"> (FEADR)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abrogare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Regulamentelor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>.</w:t>
      </w:r>
      <w:proofErr w:type="gramEnd"/>
      <w:r w:rsidRPr="001706E8">
        <w:rPr>
          <w:rFonts w:ascii="Verdana" w:eastAsia="Times New Roman" w:hAnsi="Verdana" w:cs="Times New Roman"/>
        </w:rPr>
        <w:t xml:space="preserve"> </w:t>
      </w:r>
      <w:hyperlink r:id="rId11" w:history="1">
        <w:proofErr w:type="gramStart"/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1.305/2013</w:t>
        </w:r>
        <w:proofErr w:type="gramEnd"/>
      </w:hyperlink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12" w:history="1">
        <w:proofErr w:type="gramStart"/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1.307/2013</w:t>
        </w:r>
        <w:proofErr w:type="gramEnd"/>
      </w:hyperlink>
      <w:r w:rsidRPr="001706E8">
        <w:rPr>
          <w:rFonts w:ascii="Verdana" w:eastAsia="Times New Roman" w:hAnsi="Verdana" w:cs="Times New Roman"/>
        </w:rPr>
        <w:t>;</w:t>
      </w:r>
    </w:p>
    <w:p w14:paraId="219ED5E5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pa4"/>
      <w:bookmarkEnd w:id="4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Regulamentului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hyperlink r:id="rId13" w:tooltip="privind finanţarea, gestionarea şi monitorizarea politicii agricole comune şi de abrogare a Regulamentului (UE) nr. 1306/2013 (act publicat in Jurnalul Oficial 435L)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2021/2.116</w:t>
        </w:r>
      </w:hyperlink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Parlamentului</w:t>
      </w:r>
      <w:proofErr w:type="spellEnd"/>
      <w:r w:rsidRPr="001706E8">
        <w:rPr>
          <w:rFonts w:ascii="Verdana" w:eastAsia="Times New Roman" w:hAnsi="Verdana" w:cs="Times New Roman"/>
        </w:rPr>
        <w:t xml:space="preserve"> European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Consiliului</w:t>
      </w:r>
      <w:proofErr w:type="spellEnd"/>
      <w:r w:rsidRPr="001706E8">
        <w:rPr>
          <w:rFonts w:ascii="Verdana" w:eastAsia="Times New Roman" w:hAnsi="Verdana" w:cs="Times New Roman"/>
        </w:rPr>
        <w:t xml:space="preserve"> din 2 </w:t>
      </w:r>
      <w:proofErr w:type="spellStart"/>
      <w:r w:rsidRPr="001706E8">
        <w:rPr>
          <w:rFonts w:ascii="Verdana" w:eastAsia="Times New Roman" w:hAnsi="Verdana" w:cs="Times New Roman"/>
        </w:rPr>
        <w:t>decembrie</w:t>
      </w:r>
      <w:proofErr w:type="spellEnd"/>
      <w:r w:rsidRPr="001706E8">
        <w:rPr>
          <w:rFonts w:ascii="Verdana" w:eastAsia="Times New Roman" w:hAnsi="Verdana" w:cs="Times New Roman"/>
        </w:rPr>
        <w:t xml:space="preserve"> 2021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finanţarea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gestionarea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monitorizarea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politicii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agricole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comune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abrogare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Regulamentului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14" w:history="1">
        <w:proofErr w:type="gramStart"/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1.306/2013</w:t>
        </w:r>
        <w:proofErr w:type="gramEnd"/>
      </w:hyperlink>
      <w:r w:rsidRPr="001706E8">
        <w:rPr>
          <w:rFonts w:ascii="Verdana" w:eastAsia="Times New Roman" w:hAnsi="Verdana" w:cs="Times New Roman"/>
        </w:rPr>
        <w:t>;</w:t>
      </w:r>
    </w:p>
    <w:p w14:paraId="658063A4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pa5"/>
      <w:bookmarkEnd w:id="5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Regulamentului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punere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aplicare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hyperlink r:id="rId15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2022/1.173</w:t>
        </w:r>
      </w:hyperlink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Comisiei</w:t>
      </w:r>
      <w:proofErr w:type="spellEnd"/>
      <w:r w:rsidRPr="001706E8">
        <w:rPr>
          <w:rFonts w:ascii="Verdana" w:eastAsia="Times New Roman" w:hAnsi="Verdana" w:cs="Times New Roman"/>
        </w:rPr>
        <w:t xml:space="preserve"> din 31 </w:t>
      </w:r>
      <w:proofErr w:type="spellStart"/>
      <w:r w:rsidRPr="001706E8">
        <w:rPr>
          <w:rFonts w:ascii="Verdana" w:eastAsia="Times New Roman" w:hAnsi="Verdana" w:cs="Times New Roman"/>
        </w:rPr>
        <w:t>mai</w:t>
      </w:r>
      <w:proofErr w:type="spellEnd"/>
      <w:r w:rsidRPr="001706E8">
        <w:rPr>
          <w:rFonts w:ascii="Verdana" w:eastAsia="Times New Roman" w:hAnsi="Verdana" w:cs="Times New Roman"/>
        </w:rPr>
        <w:t xml:space="preserve"> 2022 de </w:t>
      </w:r>
      <w:proofErr w:type="spellStart"/>
      <w:r w:rsidRPr="001706E8">
        <w:rPr>
          <w:rFonts w:ascii="Verdana" w:eastAsia="Times New Roman" w:hAnsi="Verdana" w:cs="Times New Roman"/>
        </w:rPr>
        <w:t>stabilire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normelor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aplicare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Regulamentului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hyperlink r:id="rId16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2021/2.116</w:t>
        </w:r>
      </w:hyperlink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Parlamentului</w:t>
      </w:r>
      <w:proofErr w:type="spellEnd"/>
      <w:r w:rsidRPr="001706E8">
        <w:rPr>
          <w:rFonts w:ascii="Verdana" w:eastAsia="Times New Roman" w:hAnsi="Verdana" w:cs="Times New Roman"/>
        </w:rPr>
        <w:t xml:space="preserve"> European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Consiliului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ceea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priveşte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sistemul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integrat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administrare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control din </w:t>
      </w:r>
      <w:proofErr w:type="spellStart"/>
      <w:r w:rsidRPr="001706E8">
        <w:rPr>
          <w:rFonts w:ascii="Verdana" w:eastAsia="Times New Roman" w:hAnsi="Verdana" w:cs="Times New Roman"/>
        </w:rPr>
        <w:t>cadrul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politicii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agricole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comune</w:t>
      </w:r>
      <w:proofErr w:type="spellEnd"/>
      <w:r w:rsidRPr="001706E8">
        <w:rPr>
          <w:rFonts w:ascii="Verdana" w:eastAsia="Times New Roman" w:hAnsi="Verdana" w:cs="Times New Roman"/>
        </w:rPr>
        <w:t>;</w:t>
      </w:r>
    </w:p>
    <w:p w14:paraId="097B864A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pa6"/>
      <w:bookmarkEnd w:id="6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Regulamentului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delegat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hyperlink r:id="rId17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2022/1.172</w:t>
        </w:r>
      </w:hyperlink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Comisiei</w:t>
      </w:r>
      <w:proofErr w:type="spellEnd"/>
      <w:r w:rsidRPr="001706E8">
        <w:rPr>
          <w:rFonts w:ascii="Verdana" w:eastAsia="Times New Roman" w:hAnsi="Verdana" w:cs="Times New Roman"/>
        </w:rPr>
        <w:t xml:space="preserve"> din 4 </w:t>
      </w:r>
      <w:proofErr w:type="spellStart"/>
      <w:r w:rsidRPr="001706E8">
        <w:rPr>
          <w:rFonts w:ascii="Verdana" w:eastAsia="Times New Roman" w:hAnsi="Verdana" w:cs="Times New Roman"/>
        </w:rPr>
        <w:t>mai</w:t>
      </w:r>
      <w:proofErr w:type="spellEnd"/>
      <w:r w:rsidRPr="001706E8">
        <w:rPr>
          <w:rFonts w:ascii="Verdana" w:eastAsia="Times New Roman" w:hAnsi="Verdana" w:cs="Times New Roman"/>
        </w:rPr>
        <w:t xml:space="preserve"> 2022 de </w:t>
      </w:r>
      <w:proofErr w:type="spellStart"/>
      <w:r w:rsidRPr="001706E8">
        <w:rPr>
          <w:rFonts w:ascii="Verdana" w:eastAsia="Times New Roman" w:hAnsi="Verdana" w:cs="Times New Roman"/>
        </w:rPr>
        <w:t>completare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Regulamentului</w:t>
      </w:r>
      <w:proofErr w:type="spellEnd"/>
      <w:r w:rsidRPr="001706E8">
        <w:rPr>
          <w:rFonts w:ascii="Verdana" w:eastAsia="Times New Roman" w:hAnsi="Verdana" w:cs="Times New Roman"/>
        </w:rPr>
        <w:t xml:space="preserve"> (UE) </w:t>
      </w:r>
      <w:hyperlink r:id="rId18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2021/2.116</w:t>
        </w:r>
      </w:hyperlink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Parlamentului</w:t>
      </w:r>
      <w:proofErr w:type="spellEnd"/>
      <w:r w:rsidRPr="001706E8">
        <w:rPr>
          <w:rFonts w:ascii="Verdana" w:eastAsia="Times New Roman" w:hAnsi="Verdana" w:cs="Times New Roman"/>
        </w:rPr>
        <w:t xml:space="preserve"> European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Consiliului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ceea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priveşte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sistemul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integrat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administrare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control din </w:t>
      </w:r>
      <w:proofErr w:type="spellStart"/>
      <w:r w:rsidRPr="001706E8">
        <w:rPr>
          <w:rFonts w:ascii="Verdana" w:eastAsia="Times New Roman" w:hAnsi="Verdana" w:cs="Times New Roman"/>
        </w:rPr>
        <w:t>cadrul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politicii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agricole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comune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aplicarea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calcularea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sancţiunilor</w:t>
      </w:r>
      <w:proofErr w:type="spellEnd"/>
      <w:r w:rsidRPr="001706E8">
        <w:rPr>
          <w:rFonts w:ascii="Verdana" w:eastAsia="Times New Roman" w:hAnsi="Verdana" w:cs="Times New Roman"/>
        </w:rPr>
        <w:t xml:space="preserve"> administrative </w:t>
      </w:r>
      <w:proofErr w:type="spellStart"/>
      <w:r w:rsidRPr="001706E8">
        <w:rPr>
          <w:rFonts w:ascii="Verdana" w:eastAsia="Times New Roman" w:hAnsi="Verdana" w:cs="Times New Roman"/>
        </w:rPr>
        <w:t>aferente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condiţionalităţii</w:t>
      </w:r>
      <w:proofErr w:type="spellEnd"/>
      <w:r w:rsidRPr="001706E8">
        <w:rPr>
          <w:rFonts w:ascii="Verdana" w:eastAsia="Times New Roman" w:hAnsi="Verdana" w:cs="Times New Roman"/>
        </w:rPr>
        <w:t>;</w:t>
      </w:r>
    </w:p>
    <w:p w14:paraId="62DB7416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pa7"/>
      <w:bookmarkEnd w:id="7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Planului</w:t>
      </w:r>
      <w:proofErr w:type="spellEnd"/>
      <w:r w:rsidRPr="001706E8">
        <w:rPr>
          <w:rFonts w:ascii="Verdana" w:eastAsia="Times New Roman" w:hAnsi="Verdana" w:cs="Times New Roman"/>
        </w:rPr>
        <w:t xml:space="preserve"> strategic PAC 2023-2027 al </w:t>
      </w:r>
      <w:proofErr w:type="spellStart"/>
      <w:r w:rsidRPr="001706E8">
        <w:rPr>
          <w:rFonts w:ascii="Verdana" w:eastAsia="Times New Roman" w:hAnsi="Verdana" w:cs="Times New Roman"/>
        </w:rPr>
        <w:t>României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aprobat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Decizia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punere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aplicare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Comisiei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Europene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C(</w:t>
      </w:r>
      <w:proofErr w:type="gramEnd"/>
      <w:r w:rsidRPr="001706E8">
        <w:rPr>
          <w:rFonts w:ascii="Verdana" w:eastAsia="Times New Roman" w:hAnsi="Verdana" w:cs="Times New Roman"/>
        </w:rPr>
        <w:t xml:space="preserve">2022) 8.783 din 7 </w:t>
      </w:r>
      <w:proofErr w:type="spellStart"/>
      <w:r w:rsidRPr="001706E8">
        <w:rPr>
          <w:rFonts w:ascii="Verdana" w:eastAsia="Times New Roman" w:hAnsi="Verdana" w:cs="Times New Roman"/>
        </w:rPr>
        <w:t>decembrie</w:t>
      </w:r>
      <w:proofErr w:type="spellEnd"/>
      <w:r w:rsidRPr="001706E8">
        <w:rPr>
          <w:rFonts w:ascii="Verdana" w:eastAsia="Times New Roman" w:hAnsi="Verdana" w:cs="Times New Roman"/>
        </w:rPr>
        <w:t xml:space="preserve"> 2022;</w:t>
      </w:r>
    </w:p>
    <w:p w14:paraId="18015A78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pa8"/>
      <w:bookmarkEnd w:id="8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Ordinului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ministrului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agriculturii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dezvoltării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rurale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>. 55/2023</w:t>
      </w:r>
      <w:r w:rsidRPr="001706E8">
        <w:rPr>
          <w:rFonts w:ascii="Verdana" w:eastAsia="Times New Roman" w:hAnsi="Verdana" w:cs="Times New Roman"/>
          <w:vertAlign w:val="superscript"/>
        </w:rPr>
        <w:t>*)</w:t>
      </w:r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implementarea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intervenţiei</w:t>
      </w:r>
      <w:proofErr w:type="spellEnd"/>
      <w:r w:rsidRPr="001706E8">
        <w:rPr>
          <w:rFonts w:ascii="Verdana" w:eastAsia="Times New Roman" w:hAnsi="Verdana" w:cs="Times New Roman"/>
        </w:rPr>
        <w:t xml:space="preserve"> DR 06 </w:t>
      </w:r>
      <w:proofErr w:type="spellStart"/>
      <w:r w:rsidRPr="001706E8">
        <w:rPr>
          <w:rFonts w:ascii="Verdana" w:eastAsia="Times New Roman" w:hAnsi="Verdana" w:cs="Times New Roman"/>
        </w:rPr>
        <w:t>Bunăstarea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animalelor</w:t>
      </w:r>
      <w:proofErr w:type="spellEnd"/>
      <w:r w:rsidRPr="001706E8">
        <w:rPr>
          <w:rFonts w:ascii="Verdana" w:eastAsia="Times New Roman" w:hAnsi="Verdana" w:cs="Times New Roman"/>
        </w:rPr>
        <w:t xml:space="preserve"> din </w:t>
      </w:r>
      <w:proofErr w:type="spellStart"/>
      <w:r w:rsidRPr="001706E8">
        <w:rPr>
          <w:rFonts w:ascii="Verdana" w:eastAsia="Times New Roman" w:hAnsi="Verdana" w:cs="Times New Roman"/>
        </w:rPr>
        <w:t>Planul</w:t>
      </w:r>
      <w:proofErr w:type="spellEnd"/>
      <w:r w:rsidRPr="001706E8">
        <w:rPr>
          <w:rFonts w:ascii="Verdana" w:eastAsia="Times New Roman" w:hAnsi="Verdana" w:cs="Times New Roman"/>
        </w:rPr>
        <w:t xml:space="preserve"> strategic PAC 2023-2027;</w:t>
      </w:r>
    </w:p>
    <w:p w14:paraId="06F86558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pa9"/>
      <w:bookmarkEnd w:id="9"/>
      <w:r w:rsidRPr="001706E8">
        <w:rPr>
          <w:rFonts w:ascii="Verdana" w:eastAsia="Times New Roman" w:hAnsi="Verdana" w:cs="Times New Roman"/>
        </w:rPr>
        <w:t>____</w:t>
      </w:r>
    </w:p>
    <w:p w14:paraId="025499D8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pa10"/>
      <w:bookmarkEnd w:id="10"/>
      <w:proofErr w:type="gramStart"/>
      <w:r w:rsidRPr="001706E8">
        <w:rPr>
          <w:rFonts w:ascii="Verdana" w:eastAsia="Times New Roman" w:hAnsi="Verdana" w:cs="Times New Roman"/>
          <w:vertAlign w:val="superscript"/>
        </w:rPr>
        <w:t>*)</w:t>
      </w:r>
      <w:proofErr w:type="spellStart"/>
      <w:r w:rsidRPr="001706E8">
        <w:rPr>
          <w:rFonts w:ascii="Verdana" w:eastAsia="Times New Roman" w:hAnsi="Verdana" w:cs="Times New Roman"/>
        </w:rPr>
        <w:t>Ordinul</w:t>
      </w:r>
      <w:proofErr w:type="spellEnd"/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ministrului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agriculturii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dezvoltării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rurale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55/2023</w:t>
      </w:r>
      <w:proofErr w:type="gramEnd"/>
      <w:r w:rsidRPr="001706E8">
        <w:rPr>
          <w:rFonts w:ascii="Verdana" w:eastAsia="Times New Roman" w:hAnsi="Verdana" w:cs="Times New Roman"/>
        </w:rPr>
        <w:t xml:space="preserve"> nu a </w:t>
      </w:r>
      <w:proofErr w:type="spellStart"/>
      <w:r w:rsidRPr="001706E8">
        <w:rPr>
          <w:rFonts w:ascii="Verdana" w:eastAsia="Times New Roman" w:hAnsi="Verdana" w:cs="Times New Roman"/>
        </w:rPr>
        <w:t>fost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publicat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Monitorul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Oficial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României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Partea</w:t>
      </w:r>
      <w:proofErr w:type="spellEnd"/>
      <w:r w:rsidRPr="001706E8">
        <w:rPr>
          <w:rFonts w:ascii="Verdana" w:eastAsia="Times New Roman" w:hAnsi="Verdana" w:cs="Times New Roman"/>
        </w:rPr>
        <w:t xml:space="preserve"> I.</w:t>
      </w:r>
    </w:p>
    <w:p w14:paraId="029EA1C7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" w:name="do|pa11"/>
      <w:bookmarkEnd w:id="11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Legii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19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1/2004</w:t>
        </w:r>
      </w:hyperlink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înfiinţarea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organizarea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funcţionarea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Agenţiei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Plăţi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Intervenţie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Agricultură</w:t>
      </w:r>
      <w:proofErr w:type="spellEnd"/>
      <w:r w:rsidRPr="001706E8">
        <w:rPr>
          <w:rFonts w:ascii="Verdana" w:eastAsia="Times New Roman" w:hAnsi="Verdana" w:cs="Times New Roman"/>
        </w:rPr>
        <w:t xml:space="preserve">, cu </w:t>
      </w:r>
      <w:proofErr w:type="spellStart"/>
      <w:r w:rsidRPr="001706E8">
        <w:rPr>
          <w:rFonts w:ascii="Verdana" w:eastAsia="Times New Roman" w:hAnsi="Verdana" w:cs="Times New Roman"/>
        </w:rPr>
        <w:t>modificările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completările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ulterioare</w:t>
      </w:r>
      <w:proofErr w:type="spellEnd"/>
      <w:r w:rsidRPr="001706E8">
        <w:rPr>
          <w:rFonts w:ascii="Verdana" w:eastAsia="Times New Roman" w:hAnsi="Verdana" w:cs="Times New Roman"/>
        </w:rPr>
        <w:t>;</w:t>
      </w:r>
    </w:p>
    <w:p w14:paraId="1AB10C84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pa12"/>
      <w:bookmarkEnd w:id="12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Ordonanţei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urgenţă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Guvernului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20" w:history="1">
        <w:proofErr w:type="gramStart"/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41/2014</w:t>
        </w:r>
        <w:proofErr w:type="gramEnd"/>
      </w:hyperlink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înfiinţarea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organizarea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funcţionarea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Agenţiei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Finanţarea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Investiţiilor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Rurale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prin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reorganizarea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Agenţiei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Plăţi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Dezvoltare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Rurală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Pescuit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aprobată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Legea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21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43/2015</w:t>
        </w:r>
      </w:hyperlink>
      <w:r w:rsidRPr="001706E8">
        <w:rPr>
          <w:rFonts w:ascii="Verdana" w:eastAsia="Times New Roman" w:hAnsi="Verdana" w:cs="Times New Roman"/>
        </w:rPr>
        <w:t xml:space="preserve"> cu </w:t>
      </w:r>
      <w:proofErr w:type="spellStart"/>
      <w:r w:rsidRPr="001706E8">
        <w:rPr>
          <w:rFonts w:ascii="Verdana" w:eastAsia="Times New Roman" w:hAnsi="Verdana" w:cs="Times New Roman"/>
        </w:rPr>
        <w:t>modificările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ulterioare</w:t>
      </w:r>
      <w:proofErr w:type="spellEnd"/>
      <w:r w:rsidRPr="001706E8">
        <w:rPr>
          <w:rFonts w:ascii="Verdana" w:eastAsia="Times New Roman" w:hAnsi="Verdana" w:cs="Times New Roman"/>
        </w:rPr>
        <w:t>;</w:t>
      </w:r>
    </w:p>
    <w:p w14:paraId="1539D76D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" w:name="do|pa13"/>
      <w:bookmarkEnd w:id="13"/>
      <w:r w:rsidRPr="001706E8">
        <w:rPr>
          <w:rFonts w:ascii="Verdana" w:eastAsia="Times New Roman" w:hAnsi="Verdana" w:cs="Times New Roman"/>
        </w:rPr>
        <w:t xml:space="preserve">- </w:t>
      </w:r>
      <w:proofErr w:type="spellStart"/>
      <w:r w:rsidRPr="001706E8">
        <w:rPr>
          <w:rFonts w:ascii="Verdana" w:eastAsia="Times New Roman" w:hAnsi="Verdana" w:cs="Times New Roman"/>
        </w:rPr>
        <w:t>Hotărârii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Guvernului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22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1.570/2022</w:t>
        </w:r>
      </w:hyperlink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stabilirea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cadrului</w:t>
      </w:r>
      <w:proofErr w:type="spellEnd"/>
      <w:r w:rsidRPr="001706E8">
        <w:rPr>
          <w:rFonts w:ascii="Verdana" w:eastAsia="Times New Roman" w:hAnsi="Verdana" w:cs="Times New Roman"/>
        </w:rPr>
        <w:t xml:space="preserve"> general de </w:t>
      </w:r>
      <w:proofErr w:type="spellStart"/>
      <w:r w:rsidRPr="001706E8">
        <w:rPr>
          <w:rFonts w:ascii="Verdana" w:eastAsia="Times New Roman" w:hAnsi="Verdana" w:cs="Times New Roman"/>
        </w:rPr>
        <w:t>implementare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intervenţiilor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specifice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dezvoltării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rurale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cuprinse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Planul</w:t>
      </w:r>
      <w:proofErr w:type="spellEnd"/>
      <w:r w:rsidRPr="001706E8">
        <w:rPr>
          <w:rFonts w:ascii="Verdana" w:eastAsia="Times New Roman" w:hAnsi="Verdana" w:cs="Times New Roman"/>
        </w:rPr>
        <w:t xml:space="preserve"> strategic PAC 2023-2027,</w:t>
      </w:r>
    </w:p>
    <w:p w14:paraId="670A3AAA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pa14"/>
      <w:bookmarkEnd w:id="14"/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temeiul</w:t>
      </w:r>
      <w:proofErr w:type="spellEnd"/>
      <w:r w:rsidRPr="001706E8">
        <w:rPr>
          <w:rFonts w:ascii="Verdana" w:eastAsia="Times New Roman" w:hAnsi="Verdana" w:cs="Times New Roman"/>
        </w:rPr>
        <w:t>:</w:t>
      </w:r>
    </w:p>
    <w:p w14:paraId="0E796796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pa15"/>
      <w:bookmarkEnd w:id="15"/>
      <w:r w:rsidRPr="001706E8">
        <w:rPr>
          <w:rFonts w:ascii="Verdana" w:eastAsia="Times New Roman" w:hAnsi="Verdana" w:cs="Times New Roman"/>
        </w:rPr>
        <w:t xml:space="preserve">- </w:t>
      </w:r>
      <w:proofErr w:type="gramStart"/>
      <w:r w:rsidRPr="001706E8">
        <w:rPr>
          <w:rFonts w:ascii="Verdana" w:eastAsia="Times New Roman" w:hAnsi="Verdana" w:cs="Times New Roman"/>
        </w:rPr>
        <w:t>art</w:t>
      </w:r>
      <w:proofErr w:type="gram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57</w:t>
      </w:r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alin</w:t>
      </w:r>
      <w:proofErr w:type="spellEnd"/>
      <w:r w:rsidRPr="001706E8">
        <w:rPr>
          <w:rFonts w:ascii="Verdana" w:eastAsia="Times New Roman" w:hAnsi="Verdana" w:cs="Times New Roman"/>
        </w:rPr>
        <w:t xml:space="preserve">. (1) </w:t>
      </w:r>
      <w:proofErr w:type="gramStart"/>
      <w:r w:rsidRPr="001706E8">
        <w:rPr>
          <w:rFonts w:ascii="Verdana" w:eastAsia="Times New Roman" w:hAnsi="Verdana" w:cs="Times New Roman"/>
        </w:rPr>
        <w:t>din</w:t>
      </w:r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Ordonanţa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urgenţă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Guvernului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23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57/2019</w:t>
        </w:r>
      </w:hyperlink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Codul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administrativ</w:t>
      </w:r>
      <w:proofErr w:type="spellEnd"/>
      <w:r w:rsidRPr="001706E8">
        <w:rPr>
          <w:rFonts w:ascii="Verdana" w:eastAsia="Times New Roman" w:hAnsi="Verdana" w:cs="Times New Roman"/>
        </w:rPr>
        <w:t xml:space="preserve">, cu </w:t>
      </w:r>
      <w:proofErr w:type="spellStart"/>
      <w:r w:rsidRPr="001706E8">
        <w:rPr>
          <w:rFonts w:ascii="Verdana" w:eastAsia="Times New Roman" w:hAnsi="Verdana" w:cs="Times New Roman"/>
        </w:rPr>
        <w:t>modificările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completările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ulterioare</w:t>
      </w:r>
      <w:proofErr w:type="spellEnd"/>
      <w:r w:rsidRPr="001706E8">
        <w:rPr>
          <w:rFonts w:ascii="Verdana" w:eastAsia="Times New Roman" w:hAnsi="Verdana" w:cs="Times New Roman"/>
        </w:rPr>
        <w:t>;</w:t>
      </w:r>
    </w:p>
    <w:p w14:paraId="62879CCA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" w:name="do|pa16"/>
      <w:bookmarkEnd w:id="16"/>
      <w:r w:rsidRPr="001706E8">
        <w:rPr>
          <w:rFonts w:ascii="Verdana" w:eastAsia="Times New Roman" w:hAnsi="Verdana" w:cs="Times New Roman"/>
        </w:rPr>
        <w:t xml:space="preserve">- </w:t>
      </w:r>
      <w:proofErr w:type="gramStart"/>
      <w:r w:rsidRPr="001706E8">
        <w:rPr>
          <w:rFonts w:ascii="Verdana" w:eastAsia="Times New Roman" w:hAnsi="Verdana" w:cs="Times New Roman"/>
        </w:rPr>
        <w:t>art</w:t>
      </w:r>
      <w:proofErr w:type="gram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9</w:t>
      </w:r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alin</w:t>
      </w:r>
      <w:proofErr w:type="spellEnd"/>
      <w:r w:rsidRPr="001706E8">
        <w:rPr>
          <w:rFonts w:ascii="Verdana" w:eastAsia="Times New Roman" w:hAnsi="Verdana" w:cs="Times New Roman"/>
        </w:rPr>
        <w:t xml:space="preserve">. (5) </w:t>
      </w:r>
      <w:proofErr w:type="spellStart"/>
      <w:proofErr w:type="gramStart"/>
      <w:r w:rsidRPr="001706E8">
        <w:rPr>
          <w:rFonts w:ascii="Verdana" w:eastAsia="Times New Roman" w:hAnsi="Verdana" w:cs="Times New Roman"/>
        </w:rPr>
        <w:t>şi</w:t>
      </w:r>
      <w:proofErr w:type="spellEnd"/>
      <w:proofErr w:type="gramEnd"/>
      <w:r w:rsidRPr="001706E8">
        <w:rPr>
          <w:rFonts w:ascii="Verdana" w:eastAsia="Times New Roman" w:hAnsi="Verdana" w:cs="Times New Roman"/>
        </w:rPr>
        <w:t xml:space="preserve"> (6) din </w:t>
      </w:r>
      <w:proofErr w:type="spellStart"/>
      <w:r w:rsidRPr="001706E8">
        <w:rPr>
          <w:rFonts w:ascii="Verdana" w:eastAsia="Times New Roman" w:hAnsi="Verdana" w:cs="Times New Roman"/>
        </w:rPr>
        <w:t>Hotărârea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Guvernului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24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30/2017</w:t>
        </w:r>
      </w:hyperlink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organizarea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funcţionarea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Ministerului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Agriculturii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Dezvoltării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Rurale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precum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lastRenderedPageBreak/>
        <w:t>modificarea</w:t>
      </w:r>
      <w:proofErr w:type="spellEnd"/>
      <w:r w:rsidRPr="001706E8">
        <w:rPr>
          <w:rFonts w:ascii="Verdana" w:eastAsia="Times New Roman" w:hAnsi="Verdana" w:cs="Times New Roman"/>
        </w:rPr>
        <w:t xml:space="preserve"> art. </w:t>
      </w:r>
      <w:proofErr w:type="gramStart"/>
      <w:r w:rsidRPr="001706E8">
        <w:rPr>
          <w:rFonts w:ascii="Verdana" w:eastAsia="Times New Roman" w:hAnsi="Verdana" w:cs="Times New Roman"/>
        </w:rPr>
        <w:t>6</w:t>
      </w:r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alin</w:t>
      </w:r>
      <w:proofErr w:type="spellEnd"/>
      <w:r w:rsidRPr="001706E8">
        <w:rPr>
          <w:rFonts w:ascii="Verdana" w:eastAsia="Times New Roman" w:hAnsi="Verdana" w:cs="Times New Roman"/>
        </w:rPr>
        <w:t xml:space="preserve">. (6) </w:t>
      </w:r>
      <w:proofErr w:type="gramStart"/>
      <w:r w:rsidRPr="001706E8">
        <w:rPr>
          <w:rFonts w:ascii="Verdana" w:eastAsia="Times New Roman" w:hAnsi="Verdana" w:cs="Times New Roman"/>
        </w:rPr>
        <w:t>din</w:t>
      </w:r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Hotărârea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Guvernului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hyperlink r:id="rId25" w:history="1">
        <w:r w:rsidRPr="001706E8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1.186/2014</w:t>
        </w:r>
      </w:hyperlink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privind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organizarea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funcţionarea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Autorităţii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Administrarea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Sistemului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Naţional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Antigrindină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Creştere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Precipitaţiilor</w:t>
      </w:r>
      <w:proofErr w:type="spellEnd"/>
      <w:r w:rsidRPr="001706E8">
        <w:rPr>
          <w:rFonts w:ascii="Verdana" w:eastAsia="Times New Roman" w:hAnsi="Verdana" w:cs="Times New Roman"/>
        </w:rPr>
        <w:t xml:space="preserve">, cu </w:t>
      </w:r>
      <w:proofErr w:type="spellStart"/>
      <w:r w:rsidRPr="001706E8">
        <w:rPr>
          <w:rFonts w:ascii="Verdana" w:eastAsia="Times New Roman" w:hAnsi="Verdana" w:cs="Times New Roman"/>
        </w:rPr>
        <w:t>modificările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completările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ulterioare</w:t>
      </w:r>
      <w:proofErr w:type="spellEnd"/>
      <w:r w:rsidRPr="001706E8">
        <w:rPr>
          <w:rFonts w:ascii="Verdana" w:eastAsia="Times New Roman" w:hAnsi="Verdana" w:cs="Times New Roman"/>
        </w:rPr>
        <w:t>,</w:t>
      </w:r>
    </w:p>
    <w:p w14:paraId="0796CD2C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pa17"/>
      <w:bookmarkEnd w:id="17"/>
      <w:proofErr w:type="spellStart"/>
      <w:proofErr w:type="gramStart"/>
      <w:r w:rsidRPr="001706E8">
        <w:rPr>
          <w:rFonts w:ascii="Verdana" w:eastAsia="Times New Roman" w:hAnsi="Verdana" w:cs="Times New Roman"/>
          <w:b/>
          <w:bCs/>
        </w:rPr>
        <w:t>ministrul</w:t>
      </w:r>
      <w:proofErr w:type="spellEnd"/>
      <w:proofErr w:type="gramEnd"/>
      <w:r w:rsidRPr="001706E8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</w:rPr>
        <w:t>agriculturii</w:t>
      </w:r>
      <w:proofErr w:type="spellEnd"/>
      <w:r w:rsidRPr="001706E8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</w:rPr>
        <w:t>şi</w:t>
      </w:r>
      <w:proofErr w:type="spellEnd"/>
      <w:r w:rsidRPr="001706E8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</w:rPr>
        <w:t>dezvoltării</w:t>
      </w:r>
      <w:proofErr w:type="spellEnd"/>
      <w:r w:rsidRPr="001706E8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  <w:b/>
          <w:bCs/>
        </w:rPr>
        <w:t>rurale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emite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prezentul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ordin</w:t>
      </w:r>
      <w:proofErr w:type="spellEnd"/>
      <w:r w:rsidRPr="001706E8">
        <w:rPr>
          <w:rFonts w:ascii="Verdana" w:eastAsia="Times New Roman" w:hAnsi="Verdana" w:cs="Times New Roman"/>
        </w:rPr>
        <w:t>.</w:t>
      </w:r>
    </w:p>
    <w:p w14:paraId="3F49D804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" w:name="do|ar1"/>
      <w:r w:rsidRPr="001706E8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219EE25" wp14:editId="57D1C5B3">
            <wp:extent cx="92075" cy="92075"/>
            <wp:effectExtent l="0" t="0" r="3175" b="3175"/>
            <wp:docPr id="8" name="do|ar1|_i" descr="D:\USERS\alaza\sintact 4.0\cache\Legislatie\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D:\USERS\alaza\sintact 4.0\cache\Legislatie\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1706E8">
        <w:rPr>
          <w:rFonts w:ascii="Verdana" w:eastAsia="Times New Roman" w:hAnsi="Verdana" w:cs="Times New Roman"/>
          <w:b/>
          <w:bCs/>
          <w:color w:val="0000AF"/>
        </w:rPr>
        <w:t>Art. 1</w:t>
      </w:r>
    </w:p>
    <w:p w14:paraId="0EF0F2CA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r1|pa1"/>
      <w:bookmarkEnd w:id="19"/>
      <w:r w:rsidRPr="001706E8">
        <w:rPr>
          <w:rFonts w:ascii="Verdana" w:eastAsia="Times New Roman" w:hAnsi="Verdana" w:cs="Times New Roman"/>
        </w:rPr>
        <w:t xml:space="preserve">Se </w:t>
      </w:r>
      <w:proofErr w:type="spellStart"/>
      <w:r w:rsidRPr="001706E8">
        <w:rPr>
          <w:rFonts w:ascii="Verdana" w:eastAsia="Times New Roman" w:hAnsi="Verdana" w:cs="Times New Roman"/>
        </w:rPr>
        <w:t>aprobă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modelul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Cererii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plată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intervenţia</w:t>
      </w:r>
      <w:proofErr w:type="spellEnd"/>
      <w:r w:rsidRPr="001706E8">
        <w:rPr>
          <w:rFonts w:ascii="Verdana" w:eastAsia="Times New Roman" w:hAnsi="Verdana" w:cs="Times New Roman"/>
        </w:rPr>
        <w:t xml:space="preserve"> DR-06 - </w:t>
      </w:r>
      <w:proofErr w:type="spellStart"/>
      <w:r w:rsidRPr="001706E8">
        <w:rPr>
          <w:rFonts w:ascii="Verdana" w:eastAsia="Times New Roman" w:hAnsi="Verdana" w:cs="Times New Roman"/>
        </w:rPr>
        <w:t>Bunăstarea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animalelor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Pachet</w:t>
      </w:r>
      <w:proofErr w:type="spellEnd"/>
      <w:r w:rsidRPr="001706E8">
        <w:rPr>
          <w:rFonts w:ascii="Verdana" w:eastAsia="Times New Roman" w:hAnsi="Verdana" w:cs="Times New Roman"/>
        </w:rPr>
        <w:t xml:space="preserve"> a) - </w:t>
      </w:r>
      <w:proofErr w:type="spellStart"/>
      <w:r w:rsidRPr="001706E8">
        <w:rPr>
          <w:rFonts w:ascii="Verdana" w:eastAsia="Times New Roman" w:hAnsi="Verdana" w:cs="Times New Roman"/>
        </w:rPr>
        <w:t>Plăţi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favoarea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bunăstării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porcinelor</w:t>
      </w:r>
      <w:proofErr w:type="spellEnd"/>
      <w:r w:rsidRPr="001706E8">
        <w:rPr>
          <w:rFonts w:ascii="Verdana" w:eastAsia="Times New Roman" w:hAnsi="Verdana" w:cs="Times New Roman"/>
        </w:rPr>
        <w:t xml:space="preserve"> din </w:t>
      </w:r>
      <w:proofErr w:type="spellStart"/>
      <w:r w:rsidRPr="001706E8">
        <w:rPr>
          <w:rFonts w:ascii="Verdana" w:eastAsia="Times New Roman" w:hAnsi="Verdana" w:cs="Times New Roman"/>
        </w:rPr>
        <w:t>cadrul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Planului</w:t>
      </w:r>
      <w:proofErr w:type="spellEnd"/>
      <w:r w:rsidRPr="001706E8">
        <w:rPr>
          <w:rFonts w:ascii="Verdana" w:eastAsia="Times New Roman" w:hAnsi="Verdana" w:cs="Times New Roman"/>
        </w:rPr>
        <w:t xml:space="preserve"> strategic PAC 2023-2027, </w:t>
      </w:r>
      <w:proofErr w:type="spellStart"/>
      <w:r w:rsidRPr="001706E8">
        <w:rPr>
          <w:rFonts w:ascii="Verdana" w:eastAsia="Times New Roman" w:hAnsi="Verdana" w:cs="Times New Roman"/>
        </w:rPr>
        <w:t>prevăzut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anexa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1</w:t>
      </w:r>
      <w:proofErr w:type="gramEnd"/>
      <w:r w:rsidRPr="001706E8">
        <w:rPr>
          <w:rFonts w:ascii="Verdana" w:eastAsia="Times New Roman" w:hAnsi="Verdana" w:cs="Times New Roman"/>
        </w:rPr>
        <w:t xml:space="preserve"> la </w:t>
      </w:r>
      <w:proofErr w:type="spellStart"/>
      <w:r w:rsidRPr="001706E8">
        <w:rPr>
          <w:rFonts w:ascii="Verdana" w:eastAsia="Times New Roman" w:hAnsi="Verdana" w:cs="Times New Roman"/>
        </w:rPr>
        <w:t>prezentul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ordin</w:t>
      </w:r>
      <w:proofErr w:type="spellEnd"/>
      <w:r w:rsidRPr="001706E8">
        <w:rPr>
          <w:rFonts w:ascii="Verdana" w:eastAsia="Times New Roman" w:hAnsi="Verdana" w:cs="Times New Roman"/>
        </w:rPr>
        <w:t>.</w:t>
      </w:r>
    </w:p>
    <w:p w14:paraId="4C9EE0FC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" w:name="do|ar2"/>
      <w:r w:rsidRPr="001706E8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59A5013" wp14:editId="2BFEBFE5">
            <wp:extent cx="92075" cy="92075"/>
            <wp:effectExtent l="0" t="0" r="3175" b="3175"/>
            <wp:docPr id="9" name="do|ar2|_i" descr="D:\USERS\alaza\sintact 4.0\cache\Legislatie\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D:\USERS\alaza\sintact 4.0\cache\Legislatie\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r w:rsidRPr="001706E8">
        <w:rPr>
          <w:rFonts w:ascii="Verdana" w:eastAsia="Times New Roman" w:hAnsi="Verdana" w:cs="Times New Roman"/>
          <w:b/>
          <w:bCs/>
          <w:color w:val="0000AF"/>
        </w:rPr>
        <w:t>Art. 2</w:t>
      </w:r>
    </w:p>
    <w:p w14:paraId="062A06D5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" w:name="do|ar2|pa1"/>
      <w:bookmarkEnd w:id="21"/>
      <w:r w:rsidRPr="001706E8">
        <w:rPr>
          <w:rFonts w:ascii="Verdana" w:eastAsia="Times New Roman" w:hAnsi="Verdana" w:cs="Times New Roman"/>
        </w:rPr>
        <w:t xml:space="preserve">Se </w:t>
      </w:r>
      <w:proofErr w:type="spellStart"/>
      <w:r w:rsidRPr="001706E8">
        <w:rPr>
          <w:rFonts w:ascii="Verdana" w:eastAsia="Times New Roman" w:hAnsi="Verdana" w:cs="Times New Roman"/>
        </w:rPr>
        <w:t>aprobă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modelul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Cererii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plată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intervenţia</w:t>
      </w:r>
      <w:proofErr w:type="spellEnd"/>
      <w:r w:rsidRPr="001706E8">
        <w:rPr>
          <w:rFonts w:ascii="Verdana" w:eastAsia="Times New Roman" w:hAnsi="Verdana" w:cs="Times New Roman"/>
        </w:rPr>
        <w:t xml:space="preserve"> DR-06 - </w:t>
      </w:r>
      <w:proofErr w:type="spellStart"/>
      <w:r w:rsidRPr="001706E8">
        <w:rPr>
          <w:rFonts w:ascii="Verdana" w:eastAsia="Times New Roman" w:hAnsi="Verdana" w:cs="Times New Roman"/>
        </w:rPr>
        <w:t>Bunăstarea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animalelor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Pachet</w:t>
      </w:r>
      <w:proofErr w:type="spellEnd"/>
      <w:r w:rsidRPr="001706E8">
        <w:rPr>
          <w:rFonts w:ascii="Verdana" w:eastAsia="Times New Roman" w:hAnsi="Verdana" w:cs="Times New Roman"/>
        </w:rPr>
        <w:t xml:space="preserve"> b) - </w:t>
      </w:r>
      <w:proofErr w:type="spellStart"/>
      <w:r w:rsidRPr="001706E8">
        <w:rPr>
          <w:rFonts w:ascii="Verdana" w:eastAsia="Times New Roman" w:hAnsi="Verdana" w:cs="Times New Roman"/>
        </w:rPr>
        <w:t>Plăţi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favoarea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bunăstării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păsărilor</w:t>
      </w:r>
      <w:proofErr w:type="spellEnd"/>
      <w:r w:rsidRPr="001706E8">
        <w:rPr>
          <w:rFonts w:ascii="Verdana" w:eastAsia="Times New Roman" w:hAnsi="Verdana" w:cs="Times New Roman"/>
        </w:rPr>
        <w:t xml:space="preserve"> din </w:t>
      </w:r>
      <w:proofErr w:type="spellStart"/>
      <w:r w:rsidRPr="001706E8">
        <w:rPr>
          <w:rFonts w:ascii="Verdana" w:eastAsia="Times New Roman" w:hAnsi="Verdana" w:cs="Times New Roman"/>
        </w:rPr>
        <w:t>cadrul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Planului</w:t>
      </w:r>
      <w:proofErr w:type="spellEnd"/>
      <w:r w:rsidRPr="001706E8">
        <w:rPr>
          <w:rFonts w:ascii="Verdana" w:eastAsia="Times New Roman" w:hAnsi="Verdana" w:cs="Times New Roman"/>
        </w:rPr>
        <w:t xml:space="preserve"> strategic PAC 2023-2027, </w:t>
      </w:r>
      <w:proofErr w:type="spellStart"/>
      <w:r w:rsidRPr="001706E8">
        <w:rPr>
          <w:rFonts w:ascii="Verdana" w:eastAsia="Times New Roman" w:hAnsi="Verdana" w:cs="Times New Roman"/>
        </w:rPr>
        <w:t>prevăzut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anexa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2 la</w:t>
      </w:r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prezentul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ordin</w:t>
      </w:r>
      <w:proofErr w:type="spellEnd"/>
      <w:r w:rsidRPr="001706E8">
        <w:rPr>
          <w:rFonts w:ascii="Verdana" w:eastAsia="Times New Roman" w:hAnsi="Verdana" w:cs="Times New Roman"/>
        </w:rPr>
        <w:t>.</w:t>
      </w:r>
    </w:p>
    <w:p w14:paraId="1554C058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" w:name="do|ar3"/>
      <w:r w:rsidRPr="001706E8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714899C" wp14:editId="19F00236">
            <wp:extent cx="92075" cy="92075"/>
            <wp:effectExtent l="0" t="0" r="3175" b="3175"/>
            <wp:docPr id="10" name="do|ar3|_i" descr="D:\USERS\alaza\sintact 4.0\cache\Legislatie\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D:\USERS\alaza\sintact 4.0\cache\Legislatie\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  <w:r w:rsidRPr="001706E8">
        <w:rPr>
          <w:rFonts w:ascii="Verdana" w:eastAsia="Times New Roman" w:hAnsi="Verdana" w:cs="Times New Roman"/>
          <w:b/>
          <w:bCs/>
          <w:color w:val="0000AF"/>
        </w:rPr>
        <w:t>Art. 3</w:t>
      </w:r>
    </w:p>
    <w:p w14:paraId="6F63B4D3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" w:name="do|ar3|pa1"/>
      <w:bookmarkEnd w:id="23"/>
      <w:proofErr w:type="spellStart"/>
      <w:r w:rsidRPr="001706E8">
        <w:rPr>
          <w:rFonts w:ascii="Verdana" w:eastAsia="Times New Roman" w:hAnsi="Verdana" w:cs="Times New Roman"/>
        </w:rPr>
        <w:t>Solicitanţii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intervenţiei</w:t>
      </w:r>
      <w:proofErr w:type="spellEnd"/>
      <w:r w:rsidRPr="001706E8">
        <w:rPr>
          <w:rFonts w:ascii="Verdana" w:eastAsia="Times New Roman" w:hAnsi="Verdana" w:cs="Times New Roman"/>
        </w:rPr>
        <w:t xml:space="preserve"> DR-06 - </w:t>
      </w:r>
      <w:proofErr w:type="spellStart"/>
      <w:r w:rsidRPr="001706E8">
        <w:rPr>
          <w:rFonts w:ascii="Verdana" w:eastAsia="Times New Roman" w:hAnsi="Verdana" w:cs="Times New Roman"/>
        </w:rPr>
        <w:t>Bunăstarea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animalelor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Pachet</w:t>
      </w:r>
      <w:proofErr w:type="spellEnd"/>
      <w:r w:rsidRPr="001706E8">
        <w:rPr>
          <w:rFonts w:ascii="Verdana" w:eastAsia="Times New Roman" w:hAnsi="Verdana" w:cs="Times New Roman"/>
        </w:rPr>
        <w:t xml:space="preserve"> a) - </w:t>
      </w:r>
      <w:proofErr w:type="spellStart"/>
      <w:r w:rsidRPr="001706E8">
        <w:rPr>
          <w:rFonts w:ascii="Verdana" w:eastAsia="Times New Roman" w:hAnsi="Verdana" w:cs="Times New Roman"/>
        </w:rPr>
        <w:t>Plăţi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favoarea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bunăstării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porcinelor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Pachet</w:t>
      </w:r>
      <w:proofErr w:type="spellEnd"/>
      <w:r w:rsidRPr="001706E8">
        <w:rPr>
          <w:rFonts w:ascii="Verdana" w:eastAsia="Times New Roman" w:hAnsi="Verdana" w:cs="Times New Roman"/>
        </w:rPr>
        <w:t xml:space="preserve"> b) - </w:t>
      </w:r>
      <w:proofErr w:type="spellStart"/>
      <w:r w:rsidRPr="001706E8">
        <w:rPr>
          <w:rFonts w:ascii="Verdana" w:eastAsia="Times New Roman" w:hAnsi="Verdana" w:cs="Times New Roman"/>
        </w:rPr>
        <w:t>Plăţi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favoarea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bunăstării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păsărilor</w:t>
      </w:r>
      <w:proofErr w:type="spellEnd"/>
      <w:r w:rsidRPr="001706E8">
        <w:rPr>
          <w:rFonts w:ascii="Verdana" w:eastAsia="Times New Roman" w:hAnsi="Verdana" w:cs="Times New Roman"/>
        </w:rPr>
        <w:t xml:space="preserve"> pot </w:t>
      </w:r>
      <w:proofErr w:type="spellStart"/>
      <w:r w:rsidRPr="001706E8">
        <w:rPr>
          <w:rFonts w:ascii="Verdana" w:eastAsia="Times New Roman" w:hAnsi="Verdana" w:cs="Times New Roman"/>
        </w:rPr>
        <w:t>depune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cererile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prevăzute</w:t>
      </w:r>
      <w:proofErr w:type="spellEnd"/>
      <w:r w:rsidRPr="001706E8">
        <w:rPr>
          <w:rFonts w:ascii="Verdana" w:eastAsia="Times New Roman" w:hAnsi="Verdana" w:cs="Times New Roman"/>
        </w:rPr>
        <w:t xml:space="preserve"> la art. 1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2 la </w:t>
      </w:r>
      <w:proofErr w:type="spellStart"/>
      <w:r w:rsidRPr="001706E8">
        <w:rPr>
          <w:rFonts w:ascii="Verdana" w:eastAsia="Times New Roman" w:hAnsi="Verdana" w:cs="Times New Roman"/>
        </w:rPr>
        <w:t>centrul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judeţean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Agenţiei</w:t>
      </w:r>
      <w:proofErr w:type="spellEnd"/>
      <w:r w:rsidRPr="001706E8">
        <w:rPr>
          <w:rFonts w:ascii="Verdana" w:eastAsia="Times New Roman" w:hAnsi="Verdana" w:cs="Times New Roman"/>
        </w:rPr>
        <w:t xml:space="preserve"> de </w:t>
      </w:r>
      <w:proofErr w:type="spellStart"/>
      <w:r w:rsidRPr="001706E8">
        <w:rPr>
          <w:rFonts w:ascii="Verdana" w:eastAsia="Times New Roman" w:hAnsi="Verdana" w:cs="Times New Roman"/>
        </w:rPr>
        <w:t>Plăţi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Intervenţie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Agricultură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respectiv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municipiului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Bucureşti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</w:t>
      </w:r>
      <w:proofErr w:type="spellEnd"/>
      <w:r w:rsidRPr="001706E8">
        <w:rPr>
          <w:rFonts w:ascii="Verdana" w:eastAsia="Times New Roman" w:hAnsi="Verdana" w:cs="Times New Roman"/>
        </w:rPr>
        <w:t xml:space="preserve"> a </w:t>
      </w:r>
      <w:proofErr w:type="spellStart"/>
      <w:r w:rsidRPr="001706E8">
        <w:rPr>
          <w:rFonts w:ascii="Verdana" w:eastAsia="Times New Roman" w:hAnsi="Verdana" w:cs="Times New Roman"/>
        </w:rPr>
        <w:t>cărui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rază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teritorială</w:t>
      </w:r>
      <w:proofErr w:type="spellEnd"/>
      <w:r w:rsidRPr="001706E8">
        <w:rPr>
          <w:rFonts w:ascii="Verdana" w:eastAsia="Times New Roman" w:hAnsi="Verdana" w:cs="Times New Roman"/>
        </w:rPr>
        <w:t xml:space="preserve"> se </w:t>
      </w:r>
      <w:proofErr w:type="spellStart"/>
      <w:r w:rsidRPr="001706E8">
        <w:rPr>
          <w:rFonts w:ascii="Verdana" w:eastAsia="Times New Roman" w:hAnsi="Verdana" w:cs="Times New Roman"/>
        </w:rPr>
        <w:t>află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sediul</w:t>
      </w:r>
      <w:proofErr w:type="spellEnd"/>
      <w:r w:rsidRPr="001706E8">
        <w:rPr>
          <w:rFonts w:ascii="Verdana" w:eastAsia="Times New Roman" w:hAnsi="Verdana" w:cs="Times New Roman"/>
        </w:rPr>
        <w:t xml:space="preserve"> social al </w:t>
      </w:r>
      <w:proofErr w:type="spellStart"/>
      <w:r w:rsidRPr="001706E8">
        <w:rPr>
          <w:rFonts w:ascii="Verdana" w:eastAsia="Times New Roman" w:hAnsi="Verdana" w:cs="Times New Roman"/>
        </w:rPr>
        <w:t>solicitanţilor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perioada</w:t>
      </w:r>
      <w:proofErr w:type="spellEnd"/>
      <w:r w:rsidRPr="001706E8">
        <w:rPr>
          <w:rFonts w:ascii="Verdana" w:eastAsia="Times New Roman" w:hAnsi="Verdana" w:cs="Times New Roman"/>
        </w:rPr>
        <w:t xml:space="preserve"> 27 februarie-24 </w:t>
      </w:r>
      <w:proofErr w:type="spellStart"/>
      <w:r w:rsidRPr="001706E8">
        <w:rPr>
          <w:rFonts w:ascii="Verdana" w:eastAsia="Times New Roman" w:hAnsi="Verdana" w:cs="Times New Roman"/>
        </w:rPr>
        <w:t>martie</w:t>
      </w:r>
      <w:proofErr w:type="spellEnd"/>
      <w:r w:rsidRPr="001706E8">
        <w:rPr>
          <w:rFonts w:ascii="Verdana" w:eastAsia="Times New Roman" w:hAnsi="Verdana" w:cs="Times New Roman"/>
        </w:rPr>
        <w:t xml:space="preserve"> 2023.</w:t>
      </w:r>
    </w:p>
    <w:p w14:paraId="5F1D0015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" w:name="do|ar4"/>
      <w:r w:rsidRPr="001706E8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791919C" wp14:editId="168BC5CC">
            <wp:extent cx="92075" cy="92075"/>
            <wp:effectExtent l="0" t="0" r="3175" b="3175"/>
            <wp:docPr id="11" name="do|ar4|_i" descr="D:\USERS\alaza\sintact 4.0\cache\Legislatie\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D:\USERS\alaza\sintact 4.0\cache\Legislatie\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  <w:r w:rsidRPr="001706E8">
        <w:rPr>
          <w:rFonts w:ascii="Verdana" w:eastAsia="Times New Roman" w:hAnsi="Verdana" w:cs="Times New Roman"/>
          <w:b/>
          <w:bCs/>
          <w:color w:val="0000AF"/>
        </w:rPr>
        <w:t>Art. 4</w:t>
      </w:r>
    </w:p>
    <w:p w14:paraId="7699022A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" w:name="do|ar4|pa1"/>
      <w:bookmarkEnd w:id="25"/>
      <w:proofErr w:type="spellStart"/>
      <w:r w:rsidRPr="001706E8">
        <w:rPr>
          <w:rFonts w:ascii="Verdana" w:eastAsia="Times New Roman" w:hAnsi="Verdana" w:cs="Times New Roman"/>
        </w:rPr>
        <w:t>Anexele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1</w:t>
      </w:r>
      <w:proofErr w:type="gram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2</w:t>
      </w:r>
      <w:r w:rsidRPr="001706E8">
        <w:rPr>
          <w:rFonts w:ascii="Verdana" w:eastAsia="Times New Roman" w:hAnsi="Verdana" w:cs="Times New Roman"/>
          <w:vertAlign w:val="superscript"/>
        </w:rPr>
        <w:t>**)</w:t>
      </w:r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fac</w:t>
      </w:r>
      <w:proofErr w:type="spellEnd"/>
      <w:r w:rsidRPr="001706E8">
        <w:rPr>
          <w:rFonts w:ascii="Verdana" w:eastAsia="Times New Roman" w:hAnsi="Verdana" w:cs="Times New Roman"/>
        </w:rPr>
        <w:t xml:space="preserve"> parte </w:t>
      </w:r>
      <w:proofErr w:type="spellStart"/>
      <w:r w:rsidRPr="001706E8">
        <w:rPr>
          <w:rFonts w:ascii="Verdana" w:eastAsia="Times New Roman" w:hAnsi="Verdana" w:cs="Times New Roman"/>
        </w:rPr>
        <w:t>integrantă</w:t>
      </w:r>
      <w:proofErr w:type="spellEnd"/>
      <w:r w:rsidRPr="001706E8">
        <w:rPr>
          <w:rFonts w:ascii="Verdana" w:eastAsia="Times New Roman" w:hAnsi="Verdana" w:cs="Times New Roman"/>
        </w:rPr>
        <w:t xml:space="preserve"> din </w:t>
      </w:r>
      <w:proofErr w:type="spellStart"/>
      <w:r w:rsidRPr="001706E8">
        <w:rPr>
          <w:rFonts w:ascii="Verdana" w:eastAsia="Times New Roman" w:hAnsi="Verdana" w:cs="Times New Roman"/>
        </w:rPr>
        <w:t>prezentul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ordin</w:t>
      </w:r>
      <w:proofErr w:type="spellEnd"/>
      <w:r w:rsidRPr="001706E8">
        <w:rPr>
          <w:rFonts w:ascii="Verdana" w:eastAsia="Times New Roman" w:hAnsi="Verdana" w:cs="Times New Roman"/>
        </w:rPr>
        <w:t>.</w:t>
      </w:r>
    </w:p>
    <w:p w14:paraId="66F4EB9C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" w:name="do|ar4|pa2"/>
      <w:bookmarkEnd w:id="26"/>
      <w:r w:rsidRPr="001706E8">
        <w:rPr>
          <w:rFonts w:ascii="Verdana" w:eastAsia="Times New Roman" w:hAnsi="Verdana" w:cs="Times New Roman"/>
        </w:rPr>
        <w:t>___</w:t>
      </w:r>
    </w:p>
    <w:p w14:paraId="5CFF9E4E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" w:name="do|ar4|pa3"/>
      <w:bookmarkEnd w:id="27"/>
      <w:r w:rsidRPr="001706E8">
        <w:rPr>
          <w:rFonts w:ascii="Verdana" w:eastAsia="Times New Roman" w:hAnsi="Verdana" w:cs="Times New Roman"/>
          <w:vertAlign w:val="superscript"/>
        </w:rPr>
        <w:t>**</w:t>
      </w:r>
      <w:proofErr w:type="gramStart"/>
      <w:r w:rsidRPr="001706E8">
        <w:rPr>
          <w:rFonts w:ascii="Verdana" w:eastAsia="Times New Roman" w:hAnsi="Verdana" w:cs="Times New Roman"/>
          <w:vertAlign w:val="superscript"/>
        </w:rPr>
        <w:t>)</w:t>
      </w:r>
      <w:proofErr w:type="spellStart"/>
      <w:r w:rsidRPr="001706E8">
        <w:rPr>
          <w:rFonts w:ascii="Verdana" w:eastAsia="Times New Roman" w:hAnsi="Verdana" w:cs="Times New Roman"/>
        </w:rPr>
        <w:t>Anexele</w:t>
      </w:r>
      <w:proofErr w:type="spellEnd"/>
      <w:proofErr w:type="gramEnd"/>
      <w:r w:rsidRPr="001706E8">
        <w:rPr>
          <w:rFonts w:ascii="Verdana" w:eastAsia="Times New Roman" w:hAnsi="Verdana" w:cs="Times New Roman"/>
        </w:rPr>
        <w:t xml:space="preserve"> 1 </w:t>
      </w:r>
      <w:proofErr w:type="spellStart"/>
      <w:r w:rsidRPr="001706E8">
        <w:rPr>
          <w:rFonts w:ascii="Verdana" w:eastAsia="Times New Roman" w:hAnsi="Verdana" w:cs="Times New Roman"/>
        </w:rPr>
        <w:t>şi</w:t>
      </w:r>
      <w:proofErr w:type="spellEnd"/>
      <w:r w:rsidRPr="001706E8">
        <w:rPr>
          <w:rFonts w:ascii="Verdana" w:eastAsia="Times New Roman" w:hAnsi="Verdana" w:cs="Times New Roman"/>
        </w:rPr>
        <w:t xml:space="preserve"> 2 se </w:t>
      </w:r>
      <w:proofErr w:type="spellStart"/>
      <w:r w:rsidRPr="001706E8">
        <w:rPr>
          <w:rFonts w:ascii="Verdana" w:eastAsia="Times New Roman" w:hAnsi="Verdana" w:cs="Times New Roman"/>
        </w:rPr>
        <w:t>publică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Monitorul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Oficial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României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Partea</w:t>
      </w:r>
      <w:proofErr w:type="spellEnd"/>
      <w:r w:rsidRPr="001706E8">
        <w:rPr>
          <w:rFonts w:ascii="Verdana" w:eastAsia="Times New Roman" w:hAnsi="Verdana" w:cs="Times New Roman"/>
        </w:rPr>
        <w:t xml:space="preserve"> I,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133 </w:t>
      </w:r>
      <w:proofErr w:type="spellStart"/>
      <w:r w:rsidRPr="001706E8">
        <w:rPr>
          <w:rFonts w:ascii="Verdana" w:eastAsia="Times New Roman" w:hAnsi="Verdana" w:cs="Times New Roman"/>
        </w:rPr>
        <w:t>bis</w:t>
      </w:r>
      <w:proofErr w:type="spellEnd"/>
      <w:r w:rsidRPr="001706E8">
        <w:rPr>
          <w:rFonts w:ascii="Verdana" w:eastAsia="Times New Roman" w:hAnsi="Verdana" w:cs="Times New Roman"/>
        </w:rPr>
        <w:t xml:space="preserve">, care se </w:t>
      </w:r>
      <w:proofErr w:type="spellStart"/>
      <w:r w:rsidRPr="001706E8">
        <w:rPr>
          <w:rFonts w:ascii="Verdana" w:eastAsia="Times New Roman" w:hAnsi="Verdana" w:cs="Times New Roman"/>
        </w:rPr>
        <w:t>poate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achiziţiona</w:t>
      </w:r>
      <w:proofErr w:type="spellEnd"/>
      <w:r w:rsidRPr="001706E8">
        <w:rPr>
          <w:rFonts w:ascii="Verdana" w:eastAsia="Times New Roman" w:hAnsi="Verdana" w:cs="Times New Roman"/>
        </w:rPr>
        <w:t xml:space="preserve"> de la </w:t>
      </w:r>
      <w:proofErr w:type="spellStart"/>
      <w:r w:rsidRPr="001706E8">
        <w:rPr>
          <w:rFonts w:ascii="Verdana" w:eastAsia="Times New Roman" w:hAnsi="Verdana" w:cs="Times New Roman"/>
        </w:rPr>
        <w:t>Centrul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pentru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relaţii</w:t>
      </w:r>
      <w:proofErr w:type="spellEnd"/>
      <w:r w:rsidRPr="001706E8">
        <w:rPr>
          <w:rFonts w:ascii="Verdana" w:eastAsia="Times New Roman" w:hAnsi="Verdana" w:cs="Times New Roman"/>
        </w:rPr>
        <w:t xml:space="preserve"> cu </w:t>
      </w:r>
      <w:proofErr w:type="spellStart"/>
      <w:r w:rsidRPr="001706E8">
        <w:rPr>
          <w:rFonts w:ascii="Verdana" w:eastAsia="Times New Roman" w:hAnsi="Verdana" w:cs="Times New Roman"/>
        </w:rPr>
        <w:t>publicul</w:t>
      </w:r>
      <w:proofErr w:type="spellEnd"/>
      <w:r w:rsidRPr="001706E8">
        <w:rPr>
          <w:rFonts w:ascii="Verdana" w:eastAsia="Times New Roman" w:hAnsi="Verdana" w:cs="Times New Roman"/>
        </w:rPr>
        <w:t xml:space="preserve"> din </w:t>
      </w:r>
      <w:proofErr w:type="spellStart"/>
      <w:proofErr w:type="gramStart"/>
      <w:r w:rsidRPr="001706E8">
        <w:rPr>
          <w:rFonts w:ascii="Verdana" w:eastAsia="Times New Roman" w:hAnsi="Verdana" w:cs="Times New Roman"/>
        </w:rPr>
        <w:t>şos</w:t>
      </w:r>
      <w:proofErr w:type="spellEnd"/>
      <w:proofErr w:type="gramEnd"/>
      <w:r w:rsidRPr="001706E8">
        <w:rPr>
          <w:rFonts w:ascii="Verdana" w:eastAsia="Times New Roman" w:hAnsi="Verdana" w:cs="Times New Roman"/>
        </w:rPr>
        <w:t xml:space="preserve">. </w:t>
      </w:r>
      <w:proofErr w:type="spellStart"/>
      <w:r w:rsidRPr="001706E8">
        <w:rPr>
          <w:rFonts w:ascii="Verdana" w:eastAsia="Times New Roman" w:hAnsi="Verdana" w:cs="Times New Roman"/>
        </w:rPr>
        <w:t>Panduri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nr</w:t>
      </w:r>
      <w:proofErr w:type="spellEnd"/>
      <w:r w:rsidRPr="001706E8">
        <w:rPr>
          <w:rFonts w:ascii="Verdana" w:eastAsia="Times New Roman" w:hAnsi="Verdana" w:cs="Times New Roman"/>
        </w:rPr>
        <w:t xml:space="preserve">. </w:t>
      </w:r>
      <w:proofErr w:type="gramStart"/>
      <w:r w:rsidRPr="001706E8">
        <w:rPr>
          <w:rFonts w:ascii="Verdana" w:eastAsia="Times New Roman" w:hAnsi="Verdana" w:cs="Times New Roman"/>
        </w:rPr>
        <w:t>1</w:t>
      </w:r>
      <w:proofErr w:type="gramEnd"/>
      <w:r w:rsidRPr="001706E8">
        <w:rPr>
          <w:rFonts w:ascii="Verdana" w:eastAsia="Times New Roman" w:hAnsi="Verdana" w:cs="Times New Roman"/>
        </w:rPr>
        <w:t xml:space="preserve">, bl. P33, </w:t>
      </w:r>
      <w:proofErr w:type="spellStart"/>
      <w:r w:rsidRPr="001706E8">
        <w:rPr>
          <w:rFonts w:ascii="Verdana" w:eastAsia="Times New Roman" w:hAnsi="Verdana" w:cs="Times New Roman"/>
        </w:rPr>
        <w:t>parter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sectorul</w:t>
      </w:r>
      <w:proofErr w:type="spellEnd"/>
      <w:r w:rsidRPr="001706E8">
        <w:rPr>
          <w:rFonts w:ascii="Verdana" w:eastAsia="Times New Roman" w:hAnsi="Verdana" w:cs="Times New Roman"/>
        </w:rPr>
        <w:t xml:space="preserve"> 5, </w:t>
      </w:r>
      <w:proofErr w:type="spellStart"/>
      <w:r w:rsidRPr="001706E8">
        <w:rPr>
          <w:rFonts w:ascii="Verdana" w:eastAsia="Times New Roman" w:hAnsi="Verdana" w:cs="Times New Roman"/>
        </w:rPr>
        <w:t>Bucureşti</w:t>
      </w:r>
      <w:proofErr w:type="spellEnd"/>
      <w:r w:rsidRPr="001706E8">
        <w:rPr>
          <w:rFonts w:ascii="Verdana" w:eastAsia="Times New Roman" w:hAnsi="Verdana" w:cs="Times New Roman"/>
        </w:rPr>
        <w:t>.</w:t>
      </w:r>
    </w:p>
    <w:p w14:paraId="5568FFFC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" w:name="do|ar5"/>
      <w:r w:rsidRPr="001706E8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B2FD876" wp14:editId="458FE6EE">
            <wp:extent cx="92075" cy="92075"/>
            <wp:effectExtent l="0" t="0" r="3175" b="3175"/>
            <wp:docPr id="12" name="do|ar5|_i" descr="D:\USERS\alaza\sintact 4.0\cache\Legislatie\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D:\USERS\alaza\sintact 4.0\cache\Legislatie\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  <w:r w:rsidRPr="001706E8">
        <w:rPr>
          <w:rFonts w:ascii="Verdana" w:eastAsia="Times New Roman" w:hAnsi="Verdana" w:cs="Times New Roman"/>
          <w:b/>
          <w:bCs/>
          <w:color w:val="0000AF"/>
        </w:rPr>
        <w:t>Art. 5</w:t>
      </w:r>
    </w:p>
    <w:p w14:paraId="383144BC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" w:name="do|ar5|pa1"/>
      <w:bookmarkEnd w:id="29"/>
      <w:proofErr w:type="spellStart"/>
      <w:r w:rsidRPr="001706E8">
        <w:rPr>
          <w:rFonts w:ascii="Verdana" w:eastAsia="Times New Roman" w:hAnsi="Verdana" w:cs="Times New Roman"/>
        </w:rPr>
        <w:t>Prezentul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ordin</w:t>
      </w:r>
      <w:proofErr w:type="spellEnd"/>
      <w:r w:rsidRPr="001706E8">
        <w:rPr>
          <w:rFonts w:ascii="Verdana" w:eastAsia="Times New Roman" w:hAnsi="Verdana" w:cs="Times New Roman"/>
        </w:rPr>
        <w:t xml:space="preserve"> se </w:t>
      </w:r>
      <w:proofErr w:type="spellStart"/>
      <w:r w:rsidRPr="001706E8">
        <w:rPr>
          <w:rFonts w:ascii="Verdana" w:eastAsia="Times New Roman" w:hAnsi="Verdana" w:cs="Times New Roman"/>
        </w:rPr>
        <w:t>publică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Monitorul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Oficial</w:t>
      </w:r>
      <w:proofErr w:type="spellEnd"/>
      <w:r w:rsidRPr="001706E8">
        <w:rPr>
          <w:rFonts w:ascii="Verdana" w:eastAsia="Times New Roman" w:hAnsi="Verdana" w:cs="Times New Roman"/>
        </w:rPr>
        <w:t xml:space="preserve"> al </w:t>
      </w:r>
      <w:proofErr w:type="spellStart"/>
      <w:r w:rsidRPr="001706E8">
        <w:rPr>
          <w:rFonts w:ascii="Verdana" w:eastAsia="Times New Roman" w:hAnsi="Verdana" w:cs="Times New Roman"/>
        </w:rPr>
        <w:t>României</w:t>
      </w:r>
      <w:proofErr w:type="spellEnd"/>
      <w:r w:rsidRPr="001706E8">
        <w:rPr>
          <w:rFonts w:ascii="Verdana" w:eastAsia="Times New Roman" w:hAnsi="Verdana" w:cs="Times New Roman"/>
        </w:rPr>
        <w:t xml:space="preserve">, </w:t>
      </w:r>
      <w:proofErr w:type="spellStart"/>
      <w:r w:rsidRPr="001706E8">
        <w:rPr>
          <w:rFonts w:ascii="Verdana" w:eastAsia="Times New Roman" w:hAnsi="Verdana" w:cs="Times New Roman"/>
        </w:rPr>
        <w:t>Partea</w:t>
      </w:r>
      <w:proofErr w:type="spellEnd"/>
      <w:r w:rsidRPr="001706E8">
        <w:rPr>
          <w:rFonts w:ascii="Verdana" w:eastAsia="Times New Roman" w:hAnsi="Verdana" w:cs="Times New Roman"/>
        </w:rPr>
        <w:t xml:space="preserve"> I.</w:t>
      </w:r>
    </w:p>
    <w:p w14:paraId="5526A023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" w:name="do|pa18"/>
      <w:bookmarkEnd w:id="30"/>
      <w:r w:rsidRPr="001706E8">
        <w:rPr>
          <w:rFonts w:ascii="Verdana" w:eastAsia="Times New Roman" w:hAnsi="Verdana" w:cs="Times New Roman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706E8" w:rsidRPr="001706E8" w14:paraId="57C27FEC" w14:textId="77777777" w:rsidTr="001706E8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45DA2F43" w14:textId="77777777" w:rsidR="001706E8" w:rsidRPr="001706E8" w:rsidRDefault="001706E8" w:rsidP="001706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31" w:name="do|pa19"/>
            <w:bookmarkEnd w:id="31"/>
            <w:proofErr w:type="spellStart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Ministrul</w:t>
            </w:r>
            <w:proofErr w:type="spellEnd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agriculturii</w:t>
            </w:r>
            <w:proofErr w:type="spellEnd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dezvoltării</w:t>
            </w:r>
            <w:proofErr w:type="spellEnd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rurale</w:t>
            </w:r>
            <w:proofErr w:type="spellEnd"/>
            <w:r w:rsidRPr="001706E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</w:p>
          <w:p w14:paraId="5E54014B" w14:textId="77777777" w:rsidR="001706E8" w:rsidRPr="001706E8" w:rsidRDefault="001706E8" w:rsidP="001706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06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Petre</w:t>
            </w:r>
            <w:proofErr w:type="spellEnd"/>
            <w:r w:rsidRPr="001706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6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Daea</w:t>
            </w:r>
            <w:proofErr w:type="spellEnd"/>
          </w:p>
        </w:tc>
      </w:tr>
    </w:tbl>
    <w:p w14:paraId="5BB26D3B" w14:textId="77777777" w:rsidR="001706E8" w:rsidRPr="001706E8" w:rsidRDefault="001706E8" w:rsidP="001706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" w:name="do|pa20"/>
      <w:bookmarkEnd w:id="32"/>
      <w:proofErr w:type="spellStart"/>
      <w:r w:rsidRPr="001706E8">
        <w:rPr>
          <w:rFonts w:ascii="Verdana" w:eastAsia="Times New Roman" w:hAnsi="Verdana" w:cs="Times New Roman"/>
        </w:rPr>
        <w:t>Publicat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în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Monitorul</w:t>
      </w:r>
      <w:proofErr w:type="spellEnd"/>
      <w:r w:rsidRPr="001706E8">
        <w:rPr>
          <w:rFonts w:ascii="Verdana" w:eastAsia="Times New Roman" w:hAnsi="Verdana" w:cs="Times New Roman"/>
        </w:rPr>
        <w:t xml:space="preserve"> </w:t>
      </w:r>
      <w:proofErr w:type="spellStart"/>
      <w:r w:rsidRPr="001706E8">
        <w:rPr>
          <w:rFonts w:ascii="Verdana" w:eastAsia="Times New Roman" w:hAnsi="Verdana" w:cs="Times New Roman"/>
        </w:rPr>
        <w:t>Oficial</w:t>
      </w:r>
      <w:proofErr w:type="spellEnd"/>
      <w:r w:rsidRPr="001706E8">
        <w:rPr>
          <w:rFonts w:ascii="Verdana" w:eastAsia="Times New Roman" w:hAnsi="Verdana" w:cs="Times New Roman"/>
        </w:rPr>
        <w:t xml:space="preserve"> cu </w:t>
      </w:r>
      <w:proofErr w:type="spellStart"/>
      <w:r w:rsidRPr="001706E8">
        <w:rPr>
          <w:rFonts w:ascii="Verdana" w:eastAsia="Times New Roman" w:hAnsi="Verdana" w:cs="Times New Roman"/>
        </w:rPr>
        <w:t>numărul</w:t>
      </w:r>
      <w:proofErr w:type="spellEnd"/>
      <w:r w:rsidRPr="001706E8">
        <w:rPr>
          <w:rFonts w:ascii="Verdana" w:eastAsia="Times New Roman" w:hAnsi="Verdana" w:cs="Times New Roman"/>
        </w:rPr>
        <w:t xml:space="preserve"> 133 din data de 16 </w:t>
      </w:r>
      <w:proofErr w:type="spellStart"/>
      <w:r w:rsidRPr="001706E8">
        <w:rPr>
          <w:rFonts w:ascii="Verdana" w:eastAsia="Times New Roman" w:hAnsi="Verdana" w:cs="Times New Roman"/>
        </w:rPr>
        <w:t>februarie</w:t>
      </w:r>
      <w:proofErr w:type="spellEnd"/>
      <w:r w:rsidRPr="001706E8">
        <w:rPr>
          <w:rFonts w:ascii="Verdana" w:eastAsia="Times New Roman" w:hAnsi="Verdana" w:cs="Times New Roman"/>
        </w:rPr>
        <w:t xml:space="preserve"> 2023</w:t>
      </w:r>
    </w:p>
    <w:p w14:paraId="67154ADF" w14:textId="77777777" w:rsidR="0009331E" w:rsidRDefault="0009331E">
      <w:bookmarkStart w:id="33" w:name="_GoBack"/>
      <w:bookmarkEnd w:id="33"/>
    </w:p>
    <w:sectPr w:rsidR="0009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8"/>
    <w:rsid w:val="0009331E"/>
    <w:rsid w:val="0017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719A"/>
  <w15:chartTrackingRefBased/>
  <w15:docId w15:val="{766EAB2C-3192-4B04-BB62-9D028236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394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055162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690892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89676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547246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00419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56548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1753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23745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59360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49252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21988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652804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593312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41542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05576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17691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8864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78063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11606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24146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150932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792278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38299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437994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883639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33095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6092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846457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90762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6571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1708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1424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532933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83158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77897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928400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89822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73620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alaza\sintact%204.0\cache\Legislatie\temp264462\00238600.HTM" TargetMode="External"/><Relationship Id="rId13" Type="http://schemas.openxmlformats.org/officeDocument/2006/relationships/hyperlink" Target="file:///D:\USERS\alaza\sintact%204.0\cache\Legislatie\temp264462\12060144.htm" TargetMode="External"/><Relationship Id="rId18" Type="http://schemas.openxmlformats.org/officeDocument/2006/relationships/hyperlink" Target="file:///D:\USERS\alaza\sintact%204.0\cache\Legislatie\temp264462\12060144.ht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\USERS\alaza\sintact%204.0\cache\Legislatie\temp264462\00169343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D:\USERS\alaza\sintact%204.0\cache\Legislatie\temp264462\12038327.htm" TargetMode="External"/><Relationship Id="rId17" Type="http://schemas.openxmlformats.org/officeDocument/2006/relationships/hyperlink" Target="file:///D:\USERS\alaza\sintact%204.0\cache\Legislatie\temp264462\12061579.htm" TargetMode="External"/><Relationship Id="rId25" Type="http://schemas.openxmlformats.org/officeDocument/2006/relationships/hyperlink" Target="file:///D:\USERS\alaza\sintact%204.0\cache\Legislatie\temp264462\0016804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USERS\alaza\sintact%204.0\cache\Legislatie\temp264462\12060144.htm" TargetMode="External"/><Relationship Id="rId20" Type="http://schemas.openxmlformats.org/officeDocument/2006/relationships/hyperlink" Target="file:///D:\USERS\alaza\sintact%204.0\cache\Legislatie\temp264462\00164270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USERS\alaza\sintact%204.0\cache\Legislatie\temp264462\12038325.htm" TargetMode="External"/><Relationship Id="rId24" Type="http://schemas.openxmlformats.org/officeDocument/2006/relationships/hyperlink" Target="file:///D:\USERS\alaza\sintact%204.0\cache\Legislatie\temp264462\00183322.htm" TargetMode="External"/><Relationship Id="rId5" Type="http://schemas.openxmlformats.org/officeDocument/2006/relationships/styles" Target="styles.xml"/><Relationship Id="rId15" Type="http://schemas.openxmlformats.org/officeDocument/2006/relationships/hyperlink" Target="file:///D:\USERS\alaza\sintact%204.0\cache\Legislatie\temp264462\12061580.htm" TargetMode="External"/><Relationship Id="rId23" Type="http://schemas.openxmlformats.org/officeDocument/2006/relationships/hyperlink" Target="file:///D:\USERS\alaza\sintact%204.0\cache\Legislatie\temp264462\00202574.htm" TargetMode="External"/><Relationship Id="rId10" Type="http://schemas.openxmlformats.org/officeDocument/2006/relationships/hyperlink" Target="file:///D:\USERS\alaza\sintact%204.0\cache\Legislatie\temp264462\12060143.htm" TargetMode="External"/><Relationship Id="rId19" Type="http://schemas.openxmlformats.org/officeDocument/2006/relationships/hyperlink" Target="file:///D:\USERS\alaza\sintact%204.0\cache\Legislatie\temp264462\00071621.ht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hyperlink" Target="file:///D:\USERS\alaza\sintact%204.0\cache\Legislatie\temp264462\12038326.htm" TargetMode="External"/><Relationship Id="rId22" Type="http://schemas.openxmlformats.org/officeDocument/2006/relationships/hyperlink" Target="file:///D:\USERS\alaza\sintact%204.0\cache\Legislatie\temp264462\00237546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D5534F483741A512E40185B292C0" ma:contentTypeVersion="1" ma:contentTypeDescription="Creați un document nou." ma:contentTypeScope="" ma:versionID="93d3a226b5fb0b15ff32dc33d1522496">
  <xsd:schema xmlns:xsd="http://www.w3.org/2001/XMLSchema" xmlns:xs="http://www.w3.org/2001/XMLSchema" xmlns:p="http://schemas.microsoft.com/office/2006/metadata/properties" xmlns:ns1="http://schemas.microsoft.com/sharepoint/v3" xmlns:ns2="fba58025-0715-43fe-9148-0548809c527a" targetNamespace="http://schemas.microsoft.com/office/2006/metadata/properties" ma:root="true" ma:fieldsID="2b38a18f4c10fc24f96ee083c05490d8" ns1:_="" ns2:_="">
    <xsd:import namespace="http://schemas.microsoft.com/sharepoint/v3"/>
    <xsd:import namespace="fba58025-0715-43fe-9148-0548809c52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8025-0715-43fe-9148-0548809c52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ba58025-0715-43fe-9148-0548809c527a">RUX3NXC6MJZS-40-2733</_dlc_DocId>
    <_dlc_DocIdUrl xmlns="fba58025-0715-43fe-9148-0548809c527a">
      <Url>http://spportal/Normative/_layouts/DocIdRedir.aspx?ID=RUX3NXC6MJZS-40-2733</Url>
      <Description>RUX3NXC6MJZS-40-2733</Description>
    </_dlc_DocIdUrl>
  </documentManagement>
</p:properties>
</file>

<file path=customXml/itemProps1.xml><?xml version="1.0" encoding="utf-8"?>
<ds:datastoreItem xmlns:ds="http://schemas.openxmlformats.org/officeDocument/2006/customXml" ds:itemID="{43003853-117C-44B6-8579-70EC5AED605B}"/>
</file>

<file path=customXml/itemProps2.xml><?xml version="1.0" encoding="utf-8"?>
<ds:datastoreItem xmlns:ds="http://schemas.openxmlformats.org/officeDocument/2006/customXml" ds:itemID="{D814B249-3DE2-40CE-966B-A433342F37D4}"/>
</file>

<file path=customXml/itemProps3.xml><?xml version="1.0" encoding="utf-8"?>
<ds:datastoreItem xmlns:ds="http://schemas.openxmlformats.org/officeDocument/2006/customXml" ds:itemID="{96E5EB73-9B5B-421C-84FB-29E01AA54D3C}"/>
</file>

<file path=customXml/itemProps4.xml><?xml version="1.0" encoding="utf-8"?>
<ds:datastoreItem xmlns:ds="http://schemas.openxmlformats.org/officeDocument/2006/customXml" ds:itemID="{79D6D474-29A9-49D8-8C3F-9B8F2D21D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LAZA</dc:creator>
  <cp:keywords/>
  <dc:description/>
  <cp:lastModifiedBy>Andreea LAZA</cp:lastModifiedBy>
  <cp:revision>1</cp:revision>
  <dcterms:created xsi:type="dcterms:W3CDTF">2023-02-20T08:07:00Z</dcterms:created>
  <dcterms:modified xsi:type="dcterms:W3CDTF">2023-02-20T08:10:00Z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0x0101002C87D5534F483741A512E40185B292C0</vt:lpwstr>
  </property>
  <property fmtid="{D5CDD505-2E9C-101B-9397-08002B2CF9AE}" pid="3" name="_dlc_DocIdItemGuid">
    <vt:lpwstr>0917d182-21ff-442d-8e55-7f14ffc12cdc</vt:lpwstr>
  </property>
</Properties>
</file>